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bookmarkStart w:id="0" w:name="_GoBack"/>
      <w:bookmarkEnd w:id="0"/>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Default="00745728" w:rsidP="004B6778">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4B6778">
        <w:rPr>
          <w:rStyle w:val="Strong"/>
          <w:rFonts w:ascii="Calibri" w:hAnsi="Calibri" w:cs="Calibri"/>
        </w:rPr>
        <w:t xml:space="preserve">Academy of Arts </w:t>
      </w:r>
    </w:p>
    <w:p w:rsidR="004B6778" w:rsidRPr="00220FD9" w:rsidRDefault="004B6778" w:rsidP="004B6778">
      <w:pPr>
        <w:pStyle w:val="NormalWeb"/>
        <w:spacing w:before="0" w:beforeAutospacing="0" w:after="0" w:afterAutospacing="0"/>
        <w:jc w:val="center"/>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5716"/>
      </w:tblGrid>
      <w:tr w:rsidR="00C546FC" w:rsidRPr="002C1F2A">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or Chair within the </w:t>
            </w:r>
            <w:r w:rsidR="00745728" w:rsidRPr="002C1F2A">
              <w:rPr>
                <w:rStyle w:val="Strong"/>
                <w:rFonts w:ascii="Calibri" w:hAnsi="Calibri" w:cs="Calibri"/>
                <w:b w:val="0"/>
                <w:sz w:val="20"/>
                <w:szCs w:val="20"/>
              </w:rPr>
              <w:t xml:space="preserve">UNIOS Unit </w:t>
            </w:r>
          </w:p>
        </w:tc>
        <w:tc>
          <w:tcPr>
            <w:tcW w:w="5868" w:type="dxa"/>
          </w:tcPr>
          <w:p w:rsidR="00C546FC" w:rsidRPr="002C1F2A" w:rsidRDefault="004B6778" w:rsidP="00FC46D5">
            <w:pPr>
              <w:pStyle w:val="NormalWeb"/>
              <w:spacing w:before="0" w:beforeAutospacing="0" w:after="0" w:afterAutospacing="0"/>
              <w:rPr>
                <w:rStyle w:val="Strong"/>
                <w:rFonts w:ascii="Calibri" w:hAnsi="Calibri" w:cs="Calibri"/>
                <w:b w:val="0"/>
                <w:sz w:val="20"/>
                <w:szCs w:val="20"/>
              </w:rPr>
            </w:pPr>
            <w:r w:rsidRPr="00482FE3">
              <w:rPr>
                <w:rStyle w:val="Strong"/>
                <w:lang w:val="en-GB"/>
              </w:rPr>
              <w:t>DEPARTMENT OF THEATRE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trPr>
          <w:trHeight w:val="567"/>
        </w:trPr>
        <w:tc>
          <w:tcPr>
            <w:tcW w:w="2988" w:type="dxa"/>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p>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tcPr>
          <w:p w:rsidR="004B6778" w:rsidRPr="004B6778" w:rsidRDefault="004B6778" w:rsidP="00FC46D5">
            <w:pPr>
              <w:pStyle w:val="NormalWeb"/>
              <w:spacing w:before="0" w:beforeAutospacing="0" w:after="0" w:afterAutospacing="0"/>
              <w:jc w:val="both"/>
              <w:rPr>
                <w:rStyle w:val="Strong"/>
                <w:szCs w:val="16"/>
                <w:lang w:val="en-GB"/>
              </w:rPr>
            </w:pPr>
            <w:r w:rsidRPr="00482FE3">
              <w:rPr>
                <w:rStyle w:val="Strong"/>
                <w:szCs w:val="16"/>
                <w:lang w:val="en-GB"/>
              </w:rPr>
              <w:t>ACTING AND PUPPETRY</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5728"/>
      </w:tblGrid>
      <w:tr w:rsidR="00C546FC" w:rsidRPr="002C1F2A">
        <w:trPr>
          <w:trHeight w:val="567"/>
        </w:trPr>
        <w:tc>
          <w:tcPr>
            <w:tcW w:w="2988" w:type="dxa"/>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p>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tcPr>
          <w:p w:rsidR="00FC2A56" w:rsidRDefault="00FC2A56" w:rsidP="002B15C1">
            <w:pPr>
              <w:pStyle w:val="NormalWeb"/>
              <w:spacing w:before="0" w:beforeAutospacing="0" w:after="0" w:afterAutospacing="0"/>
              <w:jc w:val="both"/>
              <w:rPr>
                <w:rStyle w:val="Strong"/>
                <w:rFonts w:ascii="Calibri" w:hAnsi="Calibri" w:cs="Calibri"/>
                <w:b w:val="0"/>
                <w:sz w:val="20"/>
                <w:szCs w:val="20"/>
              </w:rPr>
            </w:pPr>
          </w:p>
          <w:p w:rsidR="002B15C1" w:rsidRPr="00CC5D2A" w:rsidRDefault="002B15C1" w:rsidP="002B15C1">
            <w:pPr>
              <w:pStyle w:val="NormalWeb"/>
              <w:spacing w:before="0" w:beforeAutospacing="0" w:after="0" w:afterAutospacing="0"/>
              <w:jc w:val="both"/>
              <w:rPr>
                <w:rStyle w:val="Strong"/>
              </w:rPr>
            </w:pPr>
            <w:r w:rsidRPr="00CC5D2A">
              <w:rPr>
                <w:rStyle w:val="Strong"/>
              </w:rPr>
              <w:t xml:space="preserve">Undergraduate (bachelor) </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5716"/>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CC5D2A" w:rsidRDefault="004B6778" w:rsidP="00FC46D5">
            <w:pPr>
              <w:pStyle w:val="NormalWeb"/>
              <w:spacing w:before="0" w:beforeAutospacing="0" w:after="0" w:afterAutospacing="0"/>
              <w:rPr>
                <w:rStyle w:val="Strong"/>
                <w:rFonts w:ascii="Calibri" w:hAnsi="Calibri" w:cs="Calibri"/>
                <w:b w:val="0"/>
                <w:sz w:val="20"/>
                <w:szCs w:val="20"/>
              </w:rPr>
            </w:pPr>
            <w:r w:rsidRPr="00CC5D2A">
              <w:rPr>
                <w:b/>
                <w:color w:val="000000"/>
                <w:lang w:val="en-GB"/>
              </w:rPr>
              <w:t xml:space="preserve">Aesthetics </w:t>
            </w:r>
            <w:r w:rsidRPr="00CC5D2A">
              <w:rPr>
                <w:b/>
                <w:lang w:val="en-GB"/>
              </w:rPr>
              <w:t>of Puppetry</w:t>
            </w:r>
            <w:r w:rsidRPr="00CC5D2A">
              <w:rPr>
                <w:b/>
                <w:color w:val="000000"/>
                <w:lang w:val="en-GB"/>
              </w:rPr>
              <w:t xml:space="preserve"> 2: World Puppetry </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CC5D2A" w:rsidRDefault="004B6778" w:rsidP="00FC46D5">
            <w:pPr>
              <w:pStyle w:val="NormalWeb"/>
              <w:spacing w:before="0" w:beforeAutospacing="0" w:after="0" w:afterAutospacing="0"/>
              <w:rPr>
                <w:rStyle w:val="Strong"/>
                <w:rFonts w:ascii="Calibri" w:hAnsi="Calibri" w:cs="Calibri"/>
                <w:b w:val="0"/>
              </w:rPr>
            </w:pPr>
            <w:r w:rsidRPr="00CC5D2A">
              <w:rPr>
                <w:b/>
              </w:rPr>
              <w:t>GLU 0508</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CC5D2A" w:rsidRDefault="004B6778" w:rsidP="00FC46D5">
            <w:pPr>
              <w:pStyle w:val="NormalWeb"/>
              <w:spacing w:before="0" w:beforeAutospacing="0" w:after="0" w:afterAutospacing="0"/>
              <w:rPr>
                <w:rStyle w:val="Strong"/>
                <w:rFonts w:ascii="Calibri" w:hAnsi="Calibri" w:cs="Calibri"/>
                <w:sz w:val="20"/>
                <w:szCs w:val="20"/>
              </w:rPr>
            </w:pPr>
            <w:r w:rsidRPr="00CC5D2A">
              <w:rPr>
                <w:rStyle w:val="Strong"/>
                <w:lang w:val="en-GB"/>
              </w:rPr>
              <w:t>Croatian / 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A42DFD" w:rsidRPr="002C1F2A" w:rsidRDefault="00FC2A56" w:rsidP="00FC2A56">
            <w:pPr>
              <w:rPr>
                <w:rStyle w:val="Strong"/>
                <w:rFonts w:ascii="Calibri" w:hAnsi="Calibri" w:cs="Calibri"/>
                <w:b w:val="0"/>
                <w:sz w:val="20"/>
                <w:szCs w:val="20"/>
              </w:rPr>
            </w:pPr>
            <w:r w:rsidRPr="00482FE3">
              <w:rPr>
                <w:color w:val="000000"/>
                <w:lang w:val="en-GB"/>
              </w:rPr>
              <w:t xml:space="preserve">During the course following topics will be introduced and discussed: the puppet theatre tradition in India (epics </w:t>
            </w:r>
            <w:r w:rsidRPr="00482FE3">
              <w:rPr>
                <w:i/>
                <w:iCs/>
                <w:color w:val="000000"/>
                <w:lang w:val="en-GB"/>
              </w:rPr>
              <w:t xml:space="preserve">Mahabharata </w:t>
            </w:r>
            <w:r w:rsidRPr="00482FE3">
              <w:rPr>
                <w:iCs/>
                <w:color w:val="000000"/>
                <w:lang w:val="en-GB"/>
              </w:rPr>
              <w:t xml:space="preserve">and </w:t>
            </w:r>
            <w:r>
              <w:rPr>
                <w:i/>
                <w:iCs/>
                <w:color w:val="000000"/>
                <w:lang w:val="en-GB"/>
              </w:rPr>
              <w:t>Ramay</w:t>
            </w:r>
            <w:r w:rsidRPr="00482FE3">
              <w:rPr>
                <w:i/>
                <w:iCs/>
                <w:color w:val="000000"/>
                <w:lang w:val="en-GB"/>
              </w:rPr>
              <w:t>ana</w:t>
            </w:r>
            <w:r w:rsidRPr="00482FE3">
              <w:rPr>
                <w:color w:val="000000"/>
                <w:lang w:val="en-GB"/>
              </w:rPr>
              <w:t xml:space="preserve">; </w:t>
            </w:r>
            <w:r w:rsidRPr="00482FE3">
              <w:rPr>
                <w:i/>
                <w:color w:val="000000"/>
                <w:lang w:val="en-GB"/>
              </w:rPr>
              <w:t>ra</w:t>
            </w:r>
            <w:r>
              <w:rPr>
                <w:i/>
                <w:color w:val="000000"/>
                <w:lang w:val="en-GB"/>
              </w:rPr>
              <w:t>s</w:t>
            </w:r>
            <w:r w:rsidRPr="00482FE3">
              <w:rPr>
                <w:i/>
                <w:color w:val="000000"/>
                <w:lang w:val="en-GB"/>
              </w:rPr>
              <w:t>a</w:t>
            </w:r>
            <w:r>
              <w:rPr>
                <w:color w:val="000000"/>
                <w:lang w:val="en-GB"/>
              </w:rPr>
              <w:t xml:space="preserve">, </w:t>
            </w:r>
            <w:r w:rsidRPr="0060269D">
              <w:rPr>
                <w:i/>
                <w:color w:val="000000"/>
                <w:lang w:val="en-GB"/>
              </w:rPr>
              <w:t>sutradhar</w:t>
            </w:r>
            <w:r>
              <w:rPr>
                <w:color w:val="000000"/>
                <w:lang w:val="en-GB"/>
              </w:rPr>
              <w:t xml:space="preserve">); </w:t>
            </w:r>
            <w:r w:rsidRPr="00482FE3">
              <w:rPr>
                <w:color w:val="000000"/>
                <w:lang w:val="en-GB"/>
              </w:rPr>
              <w:t xml:space="preserve">puppet theatre tradition in Indonesia (shadow theatre </w:t>
            </w:r>
            <w:r w:rsidRPr="00482FE3">
              <w:rPr>
                <w:i/>
                <w:iCs/>
                <w:color w:val="000000"/>
                <w:lang w:val="en-GB"/>
              </w:rPr>
              <w:t>wa</w:t>
            </w:r>
            <w:r>
              <w:rPr>
                <w:i/>
                <w:iCs/>
                <w:color w:val="000000"/>
                <w:lang w:val="en-GB"/>
              </w:rPr>
              <w:t>y</w:t>
            </w:r>
            <w:r w:rsidRPr="00482FE3">
              <w:rPr>
                <w:i/>
                <w:iCs/>
                <w:color w:val="000000"/>
                <w:lang w:val="en-GB"/>
              </w:rPr>
              <w:t>ang kulit</w:t>
            </w:r>
            <w:r w:rsidRPr="00482FE3">
              <w:rPr>
                <w:color w:val="000000"/>
                <w:lang w:val="en-GB"/>
              </w:rPr>
              <w:t xml:space="preserve">; </w:t>
            </w:r>
            <w:r w:rsidRPr="00482FE3">
              <w:rPr>
                <w:i/>
                <w:iCs/>
                <w:color w:val="000000"/>
                <w:lang w:val="en-GB"/>
              </w:rPr>
              <w:t>wa</w:t>
            </w:r>
            <w:r>
              <w:rPr>
                <w:i/>
                <w:iCs/>
                <w:color w:val="000000"/>
                <w:lang w:val="en-GB"/>
              </w:rPr>
              <w:t>y</w:t>
            </w:r>
            <w:r w:rsidRPr="00482FE3">
              <w:rPr>
                <w:i/>
                <w:iCs/>
                <w:color w:val="000000"/>
                <w:lang w:val="en-GB"/>
              </w:rPr>
              <w:t>ang klitik</w:t>
            </w:r>
            <w:r w:rsidRPr="00482FE3">
              <w:rPr>
                <w:color w:val="000000"/>
                <w:lang w:val="en-GB"/>
              </w:rPr>
              <w:t>;</w:t>
            </w:r>
            <w:r w:rsidRPr="00482FE3">
              <w:rPr>
                <w:i/>
                <w:iCs/>
                <w:color w:val="000000"/>
                <w:lang w:val="en-GB"/>
              </w:rPr>
              <w:t xml:space="preserve"> wa</w:t>
            </w:r>
            <w:r>
              <w:rPr>
                <w:i/>
                <w:iCs/>
                <w:color w:val="000000"/>
                <w:lang w:val="en-GB"/>
              </w:rPr>
              <w:t>y</w:t>
            </w:r>
            <w:r w:rsidRPr="00482FE3">
              <w:rPr>
                <w:i/>
                <w:iCs/>
                <w:color w:val="000000"/>
                <w:lang w:val="en-GB"/>
              </w:rPr>
              <w:t>ang golek</w:t>
            </w:r>
            <w:r w:rsidRPr="00482FE3">
              <w:rPr>
                <w:color w:val="000000"/>
                <w:lang w:val="en-GB"/>
              </w:rPr>
              <w:t xml:space="preserve">; </w:t>
            </w:r>
            <w:r w:rsidRPr="00482FE3">
              <w:rPr>
                <w:i/>
                <w:iCs/>
                <w:color w:val="000000"/>
                <w:lang w:val="en-GB"/>
              </w:rPr>
              <w:t>dalang</w:t>
            </w:r>
            <w:r w:rsidRPr="00482FE3">
              <w:rPr>
                <w:color w:val="000000"/>
                <w:lang w:val="en-GB"/>
              </w:rPr>
              <w:t xml:space="preserve">; </w:t>
            </w:r>
            <w:r w:rsidRPr="00482FE3">
              <w:rPr>
                <w:i/>
                <w:iCs/>
                <w:color w:val="000000"/>
                <w:lang w:val="en-GB"/>
              </w:rPr>
              <w:t>lakon</w:t>
            </w:r>
            <w:r>
              <w:rPr>
                <w:i/>
                <w:iCs/>
                <w:color w:val="000000"/>
                <w:lang w:val="en-GB"/>
              </w:rPr>
              <w:t>s</w:t>
            </w:r>
            <w:r w:rsidRPr="00482FE3">
              <w:rPr>
                <w:color w:val="000000"/>
                <w:lang w:val="en-GB"/>
              </w:rPr>
              <w:t xml:space="preserve">; </w:t>
            </w:r>
            <w:r w:rsidRPr="00482FE3">
              <w:rPr>
                <w:i/>
                <w:iCs/>
                <w:color w:val="000000"/>
                <w:lang w:val="en-GB"/>
              </w:rPr>
              <w:t>gamelan</w:t>
            </w:r>
            <w:r w:rsidRPr="00482FE3">
              <w:rPr>
                <w:color w:val="000000"/>
                <w:lang w:val="en-GB"/>
              </w:rPr>
              <w:t>); puppet theatre tradition in China (the richness of techniques in puppet thea</w:t>
            </w:r>
            <w:r>
              <w:rPr>
                <w:color w:val="000000"/>
                <w:lang w:val="en-GB"/>
              </w:rPr>
              <w:t xml:space="preserve">tre performances; </w:t>
            </w:r>
            <w:r w:rsidRPr="00482FE3">
              <w:rPr>
                <w:color w:val="000000"/>
                <w:lang w:val="en-GB"/>
              </w:rPr>
              <w:t>legends about the Monkey King); puppet theatre tradition in Vietnam (water puppet theatre), puppet theatre tradition in Japan (</w:t>
            </w:r>
            <w:r w:rsidRPr="00BF1E0B">
              <w:rPr>
                <w:i/>
              </w:rPr>
              <w:t>bunraku</w:t>
            </w:r>
            <w:r w:rsidRPr="00CE4845">
              <w:t xml:space="preserve">, </w:t>
            </w:r>
            <w:r w:rsidRPr="00CE4845">
              <w:rPr>
                <w:i/>
              </w:rPr>
              <w:t>kuruma ningyo</w:t>
            </w:r>
            <w:r w:rsidRPr="00CE4845">
              <w:t xml:space="preserve">, </w:t>
            </w:r>
            <w:r w:rsidRPr="00CE4845">
              <w:rPr>
                <w:i/>
              </w:rPr>
              <w:t>karakuri ningyo</w:t>
            </w:r>
            <w:r w:rsidRPr="00CE4845">
              <w:t xml:space="preserve">; </w:t>
            </w:r>
            <w:r>
              <w:t xml:space="preserve">Chikamatsu Monzaemon – </w:t>
            </w:r>
            <w:r w:rsidRPr="00482FE3">
              <w:rPr>
                <w:color w:val="000000"/>
                <w:lang w:val="en-GB"/>
              </w:rPr>
              <w:t>"Japanese Shakespeare"); Turkish shadow theatre (Karagöz); puppet theatre tradition in other Asian countries</w:t>
            </w:r>
            <w:r>
              <w:rPr>
                <w:color w:val="000000"/>
                <w:lang w:val="en-GB"/>
              </w:rPr>
              <w:t>; puppets and masks in Africa; puppet theatre in South and North America; puppet theatre in Australia.</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FC2A56" w:rsidRPr="00482FE3" w:rsidRDefault="00FC2A56" w:rsidP="00FC2A56">
            <w:pPr>
              <w:widowControl w:val="0"/>
              <w:autoSpaceDE w:val="0"/>
              <w:autoSpaceDN w:val="0"/>
              <w:adjustRightInd w:val="0"/>
              <w:jc w:val="both"/>
              <w:rPr>
                <w:color w:val="000000"/>
                <w:lang w:val="en-GB"/>
              </w:rPr>
            </w:pPr>
            <w:r w:rsidRPr="00482FE3">
              <w:rPr>
                <w:color w:val="000000"/>
                <w:lang w:val="en-GB"/>
              </w:rPr>
              <w:t xml:space="preserve">Lectures, visual materials (photos, videos of theatre performances etc.), discussions, seminars, going to theatre to see at least one puppet </w:t>
            </w:r>
            <w:r>
              <w:rPr>
                <w:color w:val="000000"/>
                <w:lang w:val="en-GB"/>
              </w:rPr>
              <w:t xml:space="preserve">theatre </w:t>
            </w:r>
            <w:r w:rsidRPr="00482FE3">
              <w:rPr>
                <w:color w:val="000000"/>
                <w:lang w:val="en-GB"/>
              </w:rPr>
              <w:t xml:space="preserve">performance. </w:t>
            </w:r>
          </w:p>
          <w:p w:rsidR="00C546FC" w:rsidRPr="00CC5D2A" w:rsidRDefault="00FC2A56" w:rsidP="00FC2A56">
            <w:pPr>
              <w:pStyle w:val="NormalWeb"/>
              <w:spacing w:before="0" w:beforeAutospacing="0" w:after="0" w:afterAutospacing="0"/>
              <w:rPr>
                <w:rStyle w:val="Strong"/>
                <w:b w:val="0"/>
                <w:bCs w:val="0"/>
                <w:color w:val="000000"/>
                <w:lang w:val="en-GB"/>
              </w:rPr>
            </w:pPr>
            <w:r w:rsidRPr="00482FE3">
              <w:rPr>
                <w:color w:val="000000"/>
                <w:lang w:val="en-GB"/>
              </w:rPr>
              <w:t>Optional: guest teachers wil</w:t>
            </w:r>
            <w:r>
              <w:rPr>
                <w:color w:val="000000"/>
                <w:lang w:val="en-GB"/>
              </w:rPr>
              <w:t>l be invited to have a class or</w:t>
            </w:r>
            <w:r w:rsidRPr="00482FE3">
              <w:rPr>
                <w:color w:val="000000"/>
                <w:lang w:val="en-GB"/>
              </w:rPr>
              <w:t xml:space="preserve"> held a lecture on various topics connected with the main idea of the course (15 class hours). </w:t>
            </w:r>
            <w:r>
              <w:rPr>
                <w:color w:val="000000"/>
                <w:lang w:val="en-GB"/>
              </w:rPr>
              <w:t xml:space="preserve">By attending it and finishing it successfully students can get </w:t>
            </w:r>
            <w:r w:rsidRPr="00482FE3">
              <w:rPr>
                <w:color w:val="000000"/>
                <w:lang w:val="en-GB"/>
              </w:rPr>
              <w:t xml:space="preserve">1 ECTS </w:t>
            </w:r>
            <w:r>
              <w:rPr>
                <w:color w:val="000000"/>
                <w:lang w:val="en-GB"/>
              </w:rPr>
              <w:t xml:space="preserve">which </w:t>
            </w:r>
            <w:r>
              <w:rPr>
                <w:color w:val="000000"/>
                <w:lang w:val="en-GB"/>
              </w:rPr>
              <w:lastRenderedPageBreak/>
              <w:t xml:space="preserve">will be included in 2 ECTS </w:t>
            </w:r>
            <w:r w:rsidR="00CC5D2A">
              <w:rPr>
                <w:color w:val="000000"/>
                <w:lang w:val="en-GB"/>
              </w:rPr>
              <w:t>–</w:t>
            </w:r>
            <w:r>
              <w:rPr>
                <w:color w:val="000000"/>
                <w:lang w:val="en-GB"/>
              </w:rPr>
              <w:t xml:space="preserve"> the maximum number of ETCS that this course can have.</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lastRenderedPageBreak/>
              <w:t>Form of assessment</w:t>
            </w:r>
          </w:p>
        </w:tc>
        <w:tc>
          <w:tcPr>
            <w:tcW w:w="5868" w:type="dxa"/>
            <w:vAlign w:val="center"/>
          </w:tcPr>
          <w:p w:rsidR="00FC2A56" w:rsidRPr="00482FE3" w:rsidRDefault="00FC2A56" w:rsidP="00FC2A56">
            <w:pPr>
              <w:widowControl w:val="0"/>
              <w:autoSpaceDE w:val="0"/>
              <w:autoSpaceDN w:val="0"/>
              <w:adjustRightInd w:val="0"/>
              <w:jc w:val="both"/>
              <w:rPr>
                <w:bCs/>
                <w:color w:val="000000"/>
                <w:lang w:val="en-GB"/>
              </w:rPr>
            </w:pPr>
            <w:r w:rsidRPr="00482FE3">
              <w:rPr>
                <w:bCs/>
                <w:color w:val="000000"/>
                <w:lang w:val="en-GB"/>
              </w:rPr>
              <w:t>Students have to attend classes regularly. In order to have their student's book signed they have to attend at least 80% of classes, participate actively in the classes (taking part in discussions, homework etc.) and they have to go to see at least one puppet performance. Their work is assessed during the whole semester and they can obtain 100 points out of a maximum of 100 points:</w:t>
            </w:r>
          </w:p>
          <w:p w:rsidR="00FC2A56" w:rsidRPr="00482FE3" w:rsidRDefault="00FC2A56" w:rsidP="00FC2A56">
            <w:pPr>
              <w:widowControl w:val="0"/>
              <w:autoSpaceDE w:val="0"/>
              <w:autoSpaceDN w:val="0"/>
              <w:adjustRightInd w:val="0"/>
              <w:jc w:val="both"/>
              <w:rPr>
                <w:color w:val="000000"/>
                <w:lang w:val="en-GB"/>
              </w:rPr>
            </w:pPr>
            <w:r w:rsidRPr="00482FE3">
              <w:rPr>
                <w:color w:val="000000"/>
                <w:lang w:val="en-GB"/>
              </w:rPr>
              <w:t>10 points – active participating in the classes</w:t>
            </w:r>
          </w:p>
          <w:p w:rsidR="00FC2A56" w:rsidRPr="00482FE3" w:rsidRDefault="00FC2A56" w:rsidP="00FC2A56">
            <w:pPr>
              <w:widowControl w:val="0"/>
              <w:autoSpaceDE w:val="0"/>
              <w:autoSpaceDN w:val="0"/>
              <w:adjustRightInd w:val="0"/>
              <w:jc w:val="both"/>
              <w:rPr>
                <w:color w:val="000000"/>
                <w:lang w:val="en-GB"/>
              </w:rPr>
            </w:pPr>
            <w:r w:rsidRPr="00482FE3">
              <w:rPr>
                <w:color w:val="000000"/>
                <w:lang w:val="en-GB"/>
              </w:rPr>
              <w:t>10 points –</w:t>
            </w:r>
            <w:r w:rsidR="00CC5D2A">
              <w:rPr>
                <w:color w:val="000000"/>
                <w:lang w:val="en-GB"/>
              </w:rPr>
              <w:t xml:space="preserve"> </w:t>
            </w:r>
            <w:r w:rsidRPr="00482FE3">
              <w:rPr>
                <w:color w:val="000000"/>
                <w:lang w:val="en-GB"/>
              </w:rPr>
              <w:t>a review on a puppet performance</w:t>
            </w:r>
          </w:p>
          <w:p w:rsidR="00FC2A56" w:rsidRPr="00482FE3" w:rsidRDefault="00FC2A56" w:rsidP="00FC2A56">
            <w:pPr>
              <w:widowControl w:val="0"/>
              <w:autoSpaceDE w:val="0"/>
              <w:autoSpaceDN w:val="0"/>
              <w:adjustRightInd w:val="0"/>
              <w:jc w:val="both"/>
              <w:rPr>
                <w:color w:val="000000"/>
                <w:lang w:val="en-GB"/>
              </w:rPr>
            </w:pPr>
            <w:r w:rsidRPr="00482FE3">
              <w:rPr>
                <w:color w:val="000000"/>
                <w:lang w:val="en-GB"/>
              </w:rPr>
              <w:t>20 points – a written paper</w:t>
            </w:r>
            <w:r>
              <w:rPr>
                <w:color w:val="000000"/>
                <w:lang w:val="en-GB"/>
              </w:rPr>
              <w:t xml:space="preserve"> </w:t>
            </w:r>
          </w:p>
          <w:p w:rsidR="00FC2A56" w:rsidRDefault="00FC2A56" w:rsidP="00FC2A56">
            <w:pPr>
              <w:widowControl w:val="0"/>
              <w:autoSpaceDE w:val="0"/>
              <w:autoSpaceDN w:val="0"/>
              <w:adjustRightInd w:val="0"/>
              <w:jc w:val="both"/>
              <w:rPr>
                <w:color w:val="000000"/>
                <w:lang w:val="en-GB"/>
              </w:rPr>
            </w:pPr>
            <w:r>
              <w:rPr>
                <w:color w:val="000000"/>
                <w:lang w:val="en-GB"/>
              </w:rPr>
              <w:t>40 points – 2 written examinations (each can have</w:t>
            </w:r>
            <w:r w:rsidR="00CC5D2A">
              <w:rPr>
                <w:color w:val="000000"/>
                <w:lang w:val="en-GB"/>
              </w:rPr>
              <w:t xml:space="preserve"> </w:t>
            </w:r>
            <w:r>
              <w:rPr>
                <w:color w:val="000000"/>
                <w:lang w:val="en-GB"/>
              </w:rPr>
              <w:t>maximum of 20</w:t>
            </w:r>
            <w:r w:rsidRPr="00482FE3">
              <w:rPr>
                <w:color w:val="000000"/>
                <w:lang w:val="en-GB"/>
              </w:rPr>
              <w:t xml:space="preserve"> points)</w:t>
            </w:r>
          </w:p>
          <w:p w:rsidR="00FC2A56" w:rsidRPr="00482FE3" w:rsidRDefault="00FC2A56" w:rsidP="00FC2A56">
            <w:pPr>
              <w:widowControl w:val="0"/>
              <w:autoSpaceDE w:val="0"/>
              <w:autoSpaceDN w:val="0"/>
              <w:adjustRightInd w:val="0"/>
              <w:jc w:val="both"/>
              <w:rPr>
                <w:color w:val="000000"/>
                <w:lang w:val="en-GB"/>
              </w:rPr>
            </w:pPr>
            <w:r>
              <w:rPr>
                <w:color w:val="000000"/>
                <w:lang w:val="en-GB"/>
              </w:rPr>
              <w:t>20 points – an oral exam.</w:t>
            </w:r>
            <w:r w:rsidRPr="00482FE3">
              <w:rPr>
                <w:color w:val="000000"/>
                <w:lang w:val="en-GB"/>
              </w:rPr>
              <w:t xml:space="preserve"> </w:t>
            </w:r>
          </w:p>
          <w:p w:rsidR="00C546FC" w:rsidRPr="00FC2A56" w:rsidRDefault="00FC2A56" w:rsidP="00FC2A56">
            <w:pPr>
              <w:widowControl w:val="0"/>
              <w:autoSpaceDE w:val="0"/>
              <w:autoSpaceDN w:val="0"/>
              <w:adjustRightInd w:val="0"/>
              <w:jc w:val="both"/>
              <w:rPr>
                <w:rStyle w:val="Strong"/>
                <w:b w:val="0"/>
                <w:bCs w:val="0"/>
                <w:color w:val="000000"/>
                <w:lang w:val="en-GB"/>
              </w:rPr>
            </w:pPr>
            <w:r>
              <w:rPr>
                <w:color w:val="000000"/>
                <w:lang w:val="en-GB"/>
              </w:rPr>
              <w:t xml:space="preserve">A final </w:t>
            </w:r>
            <w:r w:rsidRPr="00482FE3">
              <w:rPr>
                <w:color w:val="000000"/>
                <w:lang w:val="en-GB"/>
              </w:rPr>
              <w:t>written exam</w:t>
            </w:r>
            <w:r>
              <w:rPr>
                <w:color w:val="000000"/>
                <w:lang w:val="en-GB"/>
              </w:rPr>
              <w:t>ination</w:t>
            </w:r>
            <w:r w:rsidRPr="00482FE3">
              <w:rPr>
                <w:color w:val="000000"/>
                <w:lang w:val="en-GB"/>
              </w:rPr>
              <w:t xml:space="preserve"> at the end of the course</w:t>
            </w:r>
            <w:r>
              <w:rPr>
                <w:color w:val="000000"/>
                <w:lang w:val="en-GB"/>
              </w:rPr>
              <w:t>/semester</w:t>
            </w:r>
            <w:r w:rsidRPr="00482FE3">
              <w:rPr>
                <w:color w:val="000000"/>
                <w:lang w:val="en-GB"/>
              </w:rPr>
              <w:t xml:space="preserve"> includes everything that has been taught during the course </w:t>
            </w:r>
            <w:r>
              <w:rPr>
                <w:color w:val="000000"/>
                <w:lang w:val="en-GB"/>
              </w:rPr>
              <w:t>–</w:t>
            </w:r>
            <w:r w:rsidRPr="00482FE3">
              <w:rPr>
                <w:color w:val="000000"/>
                <w:lang w:val="en-GB"/>
              </w:rPr>
              <w:t xml:space="preserve"> </w:t>
            </w:r>
            <w:r>
              <w:rPr>
                <w:color w:val="000000"/>
                <w:lang w:val="en-GB"/>
              </w:rPr>
              <w:t xml:space="preserve">it is meant </w:t>
            </w:r>
            <w:r w:rsidRPr="00482FE3">
              <w:rPr>
                <w:color w:val="000000"/>
                <w:lang w:val="en-GB"/>
              </w:rPr>
              <w:t>for those students who did not pass</w:t>
            </w:r>
            <w:r w:rsidR="00CC5D2A">
              <w:rPr>
                <w:color w:val="000000"/>
                <w:lang w:val="en-GB"/>
              </w:rPr>
              <w:t>, take or who failed one or both</w:t>
            </w:r>
            <w:r w:rsidRPr="00482FE3">
              <w:rPr>
                <w:color w:val="000000"/>
                <w:lang w:val="en-GB"/>
              </w:rPr>
              <w:t xml:space="preserve"> </w:t>
            </w:r>
            <w:r>
              <w:rPr>
                <w:color w:val="000000"/>
                <w:lang w:val="en-GB"/>
              </w:rPr>
              <w:t>of the earlier written examinations during the semester.</w:t>
            </w:r>
            <w:r w:rsidRPr="00482FE3">
              <w:rPr>
                <w:color w:val="000000"/>
                <w:lang w:val="en-GB"/>
              </w:rPr>
              <w:t xml:space="preserve"> </w:t>
            </w:r>
            <w:r>
              <w:rPr>
                <w:color w:val="000000"/>
                <w:lang w:val="en-GB"/>
              </w:rPr>
              <w:t xml:space="preserve"> </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FC2A56" w:rsidRDefault="00FC2A56" w:rsidP="00FC46D5">
            <w:pPr>
              <w:pStyle w:val="NormalWeb"/>
              <w:spacing w:before="0" w:beforeAutospacing="0" w:after="0" w:afterAutospacing="0"/>
              <w:rPr>
                <w:rStyle w:val="Strong"/>
              </w:rPr>
            </w:pPr>
            <w:r w:rsidRPr="00FC2A56">
              <w:rPr>
                <w:rStyle w:val="Strong"/>
              </w:rPr>
              <w:t>2</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2C1F2A" w:rsidRDefault="00FC2A56" w:rsidP="00FC46D5">
            <w:pPr>
              <w:pStyle w:val="NormalWeb"/>
              <w:spacing w:before="0" w:beforeAutospacing="0" w:after="0" w:afterAutospacing="0"/>
              <w:rPr>
                <w:rStyle w:val="Strong"/>
                <w:rFonts w:ascii="Calibri" w:hAnsi="Calibri" w:cs="Calibri"/>
                <w:b w:val="0"/>
                <w:sz w:val="20"/>
                <w:szCs w:val="20"/>
              </w:rPr>
            </w:pPr>
            <w:r w:rsidRPr="00482FE3">
              <w:rPr>
                <w:rStyle w:val="Strong"/>
                <w:lang w:val="en-GB"/>
              </w:rPr>
              <w:t>Lectures</w:t>
            </w:r>
            <w:r>
              <w:rPr>
                <w:rStyle w:val="Strong"/>
                <w:lang w:val="en-GB"/>
              </w:rPr>
              <w:t xml:space="preserve"> </w:t>
            </w:r>
            <w:r w:rsidRPr="00482FE3">
              <w:rPr>
                <w:rStyle w:val="Strong"/>
                <w:lang w:val="en-GB"/>
              </w:rPr>
              <w:t>-</w:t>
            </w:r>
            <w:r>
              <w:rPr>
                <w:rStyle w:val="Strong"/>
                <w:lang w:val="en-GB"/>
              </w:rPr>
              <w:t xml:space="preserve"> </w:t>
            </w:r>
            <w:r w:rsidRPr="00482FE3">
              <w:rPr>
                <w:rStyle w:val="Strong"/>
                <w:lang w:val="en-GB"/>
              </w:rPr>
              <w:t>2, Seminars</w:t>
            </w:r>
            <w:r>
              <w:rPr>
                <w:rStyle w:val="Strong"/>
                <w:lang w:val="en-GB"/>
              </w:rPr>
              <w:t xml:space="preserve"> – </w:t>
            </w:r>
            <w:r w:rsidRPr="00482FE3">
              <w:rPr>
                <w:rStyle w:val="Strong"/>
                <w:lang w:val="en-GB"/>
              </w:rPr>
              <w:t>1</w:t>
            </w:r>
          </w:p>
        </w:tc>
      </w:tr>
      <w:tr w:rsidR="00C546FC" w:rsidRPr="002C1F2A">
        <w:trPr>
          <w:trHeight w:val="567"/>
        </w:trPr>
        <w:tc>
          <w:tcPr>
            <w:tcW w:w="2988" w:type="dxa"/>
            <w:vAlign w:val="center"/>
          </w:tcPr>
          <w:p w:rsidR="00C546FC" w:rsidRPr="002C1F2A" w:rsidRDefault="00C546FC" w:rsidP="00A42DFD">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sidR="00A42DFD">
              <w:rPr>
                <w:rStyle w:val="Strong"/>
                <w:rFonts w:ascii="Calibri" w:hAnsi="Calibri" w:cs="Calibri"/>
                <w:b w:val="0"/>
                <w:sz w:val="20"/>
                <w:szCs w:val="20"/>
              </w:rPr>
              <w:t xml:space="preserve"> </w:t>
            </w:r>
          </w:p>
        </w:tc>
        <w:tc>
          <w:tcPr>
            <w:tcW w:w="5868" w:type="dxa"/>
            <w:vAlign w:val="center"/>
          </w:tcPr>
          <w:p w:rsidR="00C546FC" w:rsidRPr="00FC2A56" w:rsidRDefault="00FC2A56" w:rsidP="00FC46D5">
            <w:pPr>
              <w:pStyle w:val="NormalWeb"/>
              <w:spacing w:before="0" w:beforeAutospacing="0" w:after="0" w:afterAutospacing="0"/>
              <w:rPr>
                <w:rStyle w:val="Strong"/>
                <w:rFonts w:ascii="Calibri" w:hAnsi="Calibri" w:cs="Calibri"/>
                <w:sz w:val="20"/>
                <w:szCs w:val="20"/>
              </w:rPr>
            </w:pPr>
            <w:r w:rsidRPr="00FC2A56">
              <w:rPr>
                <w:rStyle w:val="Strong"/>
              </w:rPr>
              <w:t>2</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p>
        </w:tc>
        <w:tc>
          <w:tcPr>
            <w:tcW w:w="5868" w:type="dxa"/>
            <w:vAlign w:val="center"/>
          </w:tcPr>
          <w:p w:rsidR="00DB7407" w:rsidRPr="00FC2A56" w:rsidRDefault="00DB7407" w:rsidP="00FC46D5">
            <w:pPr>
              <w:pStyle w:val="NormalWeb"/>
              <w:spacing w:before="0" w:beforeAutospacing="0" w:after="0" w:afterAutospacing="0"/>
              <w:rPr>
                <w:rStyle w:val="Strong"/>
              </w:rPr>
            </w:pPr>
            <w:r w:rsidRPr="00FC2A56">
              <w:rPr>
                <w:rStyle w:val="Strong"/>
              </w:rPr>
              <w:t xml:space="preserve">summer semester </w:t>
            </w:r>
          </w:p>
        </w:tc>
      </w:tr>
      <w:tr w:rsidR="00C546FC" w:rsidRPr="002C1F2A">
        <w:trPr>
          <w:trHeight w:val="567"/>
        </w:trPr>
        <w:tc>
          <w:tcPr>
            <w:tcW w:w="2988" w:type="dxa"/>
            <w:vAlign w:val="center"/>
          </w:tcPr>
          <w:p w:rsidR="00C546FC"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r w:rsidR="000C3C34">
              <w:rPr>
                <w:rStyle w:val="Strong"/>
                <w:rFonts w:ascii="Calibri" w:hAnsi="Calibri" w:cs="Calibri"/>
                <w:b w:val="0"/>
                <w:sz w:val="20"/>
                <w:szCs w:val="20"/>
              </w:rPr>
              <w:t xml:space="preserve"> </w:t>
            </w:r>
          </w:p>
          <w:p w:rsidR="000C3C34" w:rsidRDefault="000C3C34" w:rsidP="00FC46D5">
            <w:pPr>
              <w:pStyle w:val="NormalWeb"/>
              <w:spacing w:before="0" w:beforeAutospacing="0" w:after="0" w:afterAutospacing="0"/>
              <w:rPr>
                <w:rStyle w:val="Strong"/>
                <w:rFonts w:ascii="Calibri" w:hAnsi="Calibri" w:cs="Calibri"/>
                <w:b w:val="0"/>
                <w:sz w:val="20"/>
                <w:szCs w:val="20"/>
              </w:rPr>
            </w:pPr>
          </w:p>
          <w:p w:rsidR="000C3C34" w:rsidRPr="002C1F2A" w:rsidRDefault="000C3C34"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Contact e-mail of lecturer / optional</w:t>
            </w:r>
          </w:p>
        </w:tc>
        <w:tc>
          <w:tcPr>
            <w:tcW w:w="5868" w:type="dxa"/>
            <w:vAlign w:val="center"/>
          </w:tcPr>
          <w:p w:rsidR="00C546FC" w:rsidRPr="00FC2A56" w:rsidRDefault="00FC2A56" w:rsidP="00FC46D5">
            <w:pPr>
              <w:pStyle w:val="NormalWeb"/>
              <w:spacing w:before="0" w:beforeAutospacing="0" w:after="0" w:afterAutospacing="0"/>
              <w:rPr>
                <w:rStyle w:val="Strong"/>
                <w:rFonts w:ascii="Calibri" w:hAnsi="Calibri" w:cs="Calibri"/>
              </w:rPr>
            </w:pPr>
            <w:r w:rsidRPr="00FC2A56">
              <w:rPr>
                <w:rStyle w:val="Strong"/>
                <w:i/>
                <w:lang w:val="en-GB"/>
              </w:rPr>
              <w:t>Livija Kroflin</w:t>
            </w:r>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28" w:rsidRDefault="003A2828" w:rsidP="00220FD9">
      <w:r>
        <w:separator/>
      </w:r>
    </w:p>
  </w:endnote>
  <w:endnote w:type="continuationSeparator" w:id="0">
    <w:p w:rsidR="003A2828" w:rsidRDefault="003A2828"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28" w:rsidRDefault="003A2828" w:rsidP="00220FD9">
      <w:r>
        <w:separator/>
      </w:r>
    </w:p>
  </w:footnote>
  <w:footnote w:type="continuationSeparator" w:id="0">
    <w:p w:rsidR="003A2828" w:rsidRDefault="003A2828" w:rsidP="0022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0E6337">
    <w:pPr>
      <w:pStyle w:val="Header"/>
    </w:pPr>
    <w:r>
      <w:rPr>
        <w:noProof/>
        <w:lang w:val="en-GB" w:eastAsia="en-GB"/>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0C3C34"/>
    <w:rsid w:val="000E6337"/>
    <w:rsid w:val="0013712D"/>
    <w:rsid w:val="0015015E"/>
    <w:rsid w:val="001C7718"/>
    <w:rsid w:val="001F62BF"/>
    <w:rsid w:val="00220FD9"/>
    <w:rsid w:val="00222443"/>
    <w:rsid w:val="00262103"/>
    <w:rsid w:val="0026540C"/>
    <w:rsid w:val="002B15C1"/>
    <w:rsid w:val="002C1F2A"/>
    <w:rsid w:val="00342147"/>
    <w:rsid w:val="003428DA"/>
    <w:rsid w:val="003A2828"/>
    <w:rsid w:val="00434808"/>
    <w:rsid w:val="004B6778"/>
    <w:rsid w:val="004B6A8E"/>
    <w:rsid w:val="004F1E38"/>
    <w:rsid w:val="005C36E5"/>
    <w:rsid w:val="00703630"/>
    <w:rsid w:val="00736619"/>
    <w:rsid w:val="00745728"/>
    <w:rsid w:val="0078566D"/>
    <w:rsid w:val="007D2BCF"/>
    <w:rsid w:val="0083394E"/>
    <w:rsid w:val="00870EB2"/>
    <w:rsid w:val="00875BD9"/>
    <w:rsid w:val="00936CF5"/>
    <w:rsid w:val="00951BF2"/>
    <w:rsid w:val="00976897"/>
    <w:rsid w:val="00990D6D"/>
    <w:rsid w:val="00A154B2"/>
    <w:rsid w:val="00A42DFD"/>
    <w:rsid w:val="00A73053"/>
    <w:rsid w:val="00B05690"/>
    <w:rsid w:val="00C0575E"/>
    <w:rsid w:val="00C30CD8"/>
    <w:rsid w:val="00C5011D"/>
    <w:rsid w:val="00C546FC"/>
    <w:rsid w:val="00CC5D2A"/>
    <w:rsid w:val="00CF5220"/>
    <w:rsid w:val="00D607C3"/>
    <w:rsid w:val="00D92DEE"/>
    <w:rsid w:val="00DB7407"/>
    <w:rsid w:val="00DF2874"/>
    <w:rsid w:val="00E36DF5"/>
    <w:rsid w:val="00EB0BF2"/>
    <w:rsid w:val="00FC2A56"/>
    <w:rsid w:val="00FC4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942145-D41F-4CF7-BB38-CD5A42F0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Snjeza</cp:lastModifiedBy>
  <cp:revision>2</cp:revision>
  <cp:lastPrinted>2011-11-29T07:51:00Z</cp:lastPrinted>
  <dcterms:created xsi:type="dcterms:W3CDTF">2020-02-22T09:33:00Z</dcterms:created>
  <dcterms:modified xsi:type="dcterms:W3CDTF">2020-02-22T09:33:00Z</dcterms:modified>
</cp:coreProperties>
</file>