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5A" w:rsidRPr="00220FD9" w:rsidRDefault="00B9205A" w:rsidP="00B9205A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B9205A" w:rsidRPr="00220FD9" w:rsidRDefault="00B9205A" w:rsidP="00B9205A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:rsidR="00B9205A" w:rsidRPr="00220FD9" w:rsidRDefault="00B9205A" w:rsidP="00B9205A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UNIOS </w:t>
      </w:r>
      <w:r w:rsidRPr="00220FD9">
        <w:rPr>
          <w:rStyle w:val="Naglaeno"/>
          <w:rFonts w:ascii="Calibri" w:hAnsi="Calibri" w:cs="Calibri"/>
        </w:rPr>
        <w:t xml:space="preserve">University Unit: </w:t>
      </w:r>
      <w:r>
        <w:rPr>
          <w:rStyle w:val="Naglaeno"/>
          <w:rFonts w:ascii="Calibri" w:hAnsi="Calibri" w:cs="Calibri"/>
        </w:rPr>
        <w:t>The Academy of Arts and Culture in Osijek</w:t>
      </w:r>
    </w:p>
    <w:p w:rsidR="00B9205A" w:rsidRPr="00220FD9" w:rsidRDefault="00B9205A" w:rsidP="00B9205A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:rsidR="00B9205A" w:rsidRPr="00220FD9" w:rsidRDefault="00B9205A" w:rsidP="00B9205A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:rsidR="00B9205A" w:rsidRPr="00220FD9" w:rsidRDefault="00B9205A" w:rsidP="00B9205A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FOR ERASMUS+ INDIVIDUAL INCOMING STUDENTS </w:t>
      </w:r>
    </w:p>
    <w:p w:rsidR="00CE7124" w:rsidRDefault="00CE7124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tbl>
      <w:tblPr>
        <w:tblStyle w:val="Style2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E7124">
        <w:tc>
          <w:tcPr>
            <w:tcW w:w="2988" w:type="dxa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of </w:t>
            </w:r>
            <w:r w:rsidR="00B920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Visual and Media Arts</w:t>
            </w:r>
          </w:p>
        </w:tc>
      </w:tr>
    </w:tbl>
    <w:p w:rsidR="00CE7124" w:rsidRDefault="00CE7124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2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E7124">
        <w:trPr>
          <w:trHeight w:val="567"/>
        </w:trPr>
        <w:tc>
          <w:tcPr>
            <w:tcW w:w="2988" w:type="dxa"/>
          </w:tcPr>
          <w:p w:rsidR="00CE7124" w:rsidRDefault="00CE712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E7124" w:rsidRDefault="004A31E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CE7124" w:rsidRDefault="004A31E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205A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Undergraduate Study of Fine Arts Education</w:t>
            </w:r>
          </w:p>
        </w:tc>
      </w:tr>
    </w:tbl>
    <w:p w:rsidR="00CE7124" w:rsidRDefault="00CE7124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2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E7124">
        <w:trPr>
          <w:trHeight w:val="567"/>
        </w:trPr>
        <w:tc>
          <w:tcPr>
            <w:tcW w:w="2988" w:type="dxa"/>
          </w:tcPr>
          <w:p w:rsidR="00CE7124" w:rsidRDefault="00CE712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E7124" w:rsidRDefault="004A31E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CE7124" w:rsidRDefault="004A31E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Undergraduate (</w:t>
            </w:r>
            <w:r w:rsidR="00B920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Bachelor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CE7124" w:rsidRDefault="00CE712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E7124" w:rsidRDefault="00CE7124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25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Printmaking III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LKBA143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E7124" w:rsidRDefault="007D074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/ </w:t>
            </w:r>
            <w:r w:rsidR="00B920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English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CE712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CE7124" w:rsidRDefault="00CE712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CE7124" w:rsidRDefault="004A31E8" w:rsidP="00993263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Theoretical and practical insights about the intaglio printing</w:t>
            </w:r>
            <w:bookmarkStart w:id="0" w:name="_GoBack"/>
            <w:bookmarkEnd w:id="0"/>
          </w:p>
          <w:p w:rsidR="00CE7124" w:rsidRDefault="004A31E8">
            <w:pPr>
              <w:numPr>
                <w:ilvl w:val="0"/>
                <w:numId w:val="1"/>
              </w:numPr>
              <w:spacing w:before="28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Intaglio: historical development, most important representatives, examples, reproductions</w:t>
            </w:r>
          </w:p>
          <w:p w:rsidR="00CE7124" w:rsidRDefault="004A31E8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Explained mechanical and chemical processing methods: dry point, etching</w:t>
            </w:r>
          </w:p>
          <w:p w:rsidR="00CE7124" w:rsidRDefault="004A31E8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Different types of metal plates (zinc, copper), types of paper and printing inks</w:t>
            </w:r>
          </w:p>
          <w:p w:rsidR="00CE7124" w:rsidRDefault="004A31E8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Developing drawings into intaglio techniques, etching in nitric acid, printing on the press, making dry point and etching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Lectures/practicum exercises (3 hours / 2 hours)  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Understanding the specifics, perception, and the use of expressive possibilities of dry point and etching. Students master the basics of mechanical and chemical intaglio processes (cutting and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prepartion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zinc plates, paper preparation, drawing by needle on matrix, etching in nitric acid, printing on intaglio press, trimming and signing of prints).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CE7124" w:rsidRPr="00B9205A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20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winter semester </w:t>
            </w:r>
          </w:p>
          <w:p w:rsidR="00CE7124" w:rsidRDefault="00CE7124" w:rsidP="00B9205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124">
        <w:trPr>
          <w:trHeight w:val="567"/>
        </w:trPr>
        <w:tc>
          <w:tcPr>
            <w:tcW w:w="2988" w:type="dxa"/>
            <w:vAlign w:val="center"/>
          </w:tcPr>
          <w:p w:rsidR="00CE7124" w:rsidRDefault="004A31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CE7124" w:rsidRDefault="00B9205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Krunoslav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Dundović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art. associate</w:t>
            </w:r>
          </w:p>
        </w:tc>
      </w:tr>
    </w:tbl>
    <w:p w:rsidR="00CE7124" w:rsidRDefault="00CE7124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CE7124">
      <w:headerReference w:type="default" r:id="rId9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BC" w:rsidRDefault="003551BC">
      <w:pPr>
        <w:spacing w:line="240" w:lineRule="auto"/>
        <w:ind w:left="0" w:hanging="2"/>
      </w:pPr>
      <w:r>
        <w:separator/>
      </w:r>
    </w:p>
  </w:endnote>
  <w:endnote w:type="continuationSeparator" w:id="0">
    <w:p w:rsidR="003551BC" w:rsidRDefault="003551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Allesia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BC" w:rsidRDefault="003551BC">
      <w:pPr>
        <w:spacing w:line="240" w:lineRule="auto"/>
        <w:ind w:left="0" w:hanging="2"/>
      </w:pPr>
      <w:r>
        <w:separator/>
      </w:r>
    </w:p>
  </w:footnote>
  <w:footnote w:type="continuationSeparator" w:id="0">
    <w:p w:rsidR="003551BC" w:rsidRDefault="003551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124" w:rsidRDefault="004A31E8">
    <w:pPr>
      <w:tabs>
        <w:tab w:val="center" w:pos="4703"/>
        <w:tab w:val="right" w:pos="9406"/>
      </w:tabs>
      <w:spacing w:line="240" w:lineRule="auto"/>
      <w:ind w:left="0" w:hanging="2"/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inline distT="0" distB="0" distL="114300" distR="114300">
          <wp:extent cx="5220335" cy="767715"/>
          <wp:effectExtent l="0" t="0" r="0" b="0"/>
          <wp:docPr id="1026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124" w:rsidRDefault="00CE7124">
    <w:pPr>
      <w:tabs>
        <w:tab w:val="center" w:pos="4703"/>
        <w:tab w:val="right" w:pos="9406"/>
      </w:tabs>
      <w:spacing w:line="240" w:lineRule="auto"/>
      <w:ind w:left="0" w:hanging="2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24"/>
    <w:rsid w:val="003551BC"/>
    <w:rsid w:val="004A31E8"/>
    <w:rsid w:val="005D7A5F"/>
    <w:rsid w:val="007D0740"/>
    <w:rsid w:val="00993263"/>
    <w:rsid w:val="00B9205A"/>
    <w:rsid w:val="00CE7124"/>
    <w:rsid w:val="16F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4D11-332E-4B8F-BA95-CEDC018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styleId="Hiperveza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rPr>
      <w:w w:val="100"/>
      <w:position w:val="-1"/>
      <w:vertAlign w:val="baseline"/>
      <w:cs w:val="0"/>
    </w:rPr>
  </w:style>
  <w:style w:type="table" w:customStyle="1" w:styleId="Style22">
    <w:name w:val="_Style 22"/>
    <w:basedOn w:val="TableNormal1"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1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1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WYeu+MmhfERGml1l/B5xxGMsg==">AMUW2mUGMqmJ3dWMRhuqZrpFS+lKF86LkUMkChmlMSCFVen8kyfs0W7hTqZQ0t9DFcHZpG/PoMtdEwxCc+m5wCWWTksdSjjgQ/qazRMbEIRox0uz4K25Bv8=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6</cp:revision>
  <dcterms:created xsi:type="dcterms:W3CDTF">2023-10-31T09:47:00Z</dcterms:created>
  <dcterms:modified xsi:type="dcterms:W3CDTF">2023-11-12T14:19:00Z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