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Pr="00D94AA5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TableGrid"/>
        <w:tblW w:w="9516" w:type="dxa"/>
        <w:tblInd w:w="-161" w:type="dxa"/>
        <w:tblLook w:val="04A0" w:firstRow="1" w:lastRow="0" w:firstColumn="1" w:lastColumn="0" w:noHBand="0" w:noVBand="1"/>
      </w:tblPr>
      <w:tblGrid>
        <w:gridCol w:w="3700"/>
        <w:gridCol w:w="5816"/>
      </w:tblGrid>
      <w:tr w:rsidR="004B52F0" w:rsidRPr="00D94AA5" w14:paraId="65692639" w14:textId="6C1E5FD8" w:rsidTr="00221AB7">
        <w:tc>
          <w:tcPr>
            <w:tcW w:w="3700" w:type="dxa"/>
            <w:shd w:val="solid" w:color="FFE599" w:themeColor="accent4" w:themeTint="66" w:fill="auto"/>
          </w:tcPr>
          <w:p w14:paraId="72A95685" w14:textId="1483D910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5816" w:type="dxa"/>
            <w:shd w:val="solid" w:color="FFE599" w:themeColor="accent4" w:themeTint="66" w:fill="auto"/>
          </w:tcPr>
          <w:p w14:paraId="644FCC17" w14:textId="63D4028C" w:rsidR="004B52F0" w:rsidRPr="00D94AA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94AA5" w14:paraId="3C69D35B" w14:textId="64557A7A" w:rsidTr="00221AB7">
        <w:tc>
          <w:tcPr>
            <w:tcW w:w="3700" w:type="dxa"/>
          </w:tcPr>
          <w:p w14:paraId="0DEC46EE" w14:textId="0A8AF5F3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5816" w:type="dxa"/>
          </w:tcPr>
          <w:p w14:paraId="3E487848" w14:textId="5BD896D6" w:rsidR="004B52F0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dr. sc.</w:t>
            </w:r>
          </w:p>
        </w:tc>
      </w:tr>
      <w:tr w:rsidR="004B52F0" w:rsidRPr="00D94AA5" w14:paraId="5DC0CF7C" w14:textId="7D3B3373" w:rsidTr="00221AB7">
        <w:tc>
          <w:tcPr>
            <w:tcW w:w="3700" w:type="dxa"/>
          </w:tcPr>
          <w:p w14:paraId="42DE1B0E" w14:textId="70C612B6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5816" w:type="dxa"/>
          </w:tcPr>
          <w:p w14:paraId="6331C60D" w14:textId="52D10083" w:rsidR="004B52F0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red. prof. u trajnom zvanju</w:t>
            </w:r>
          </w:p>
        </w:tc>
      </w:tr>
      <w:tr w:rsidR="004B52F0" w:rsidRPr="00D94AA5" w14:paraId="09F4A72B" w14:textId="0787C38F" w:rsidTr="00221AB7">
        <w:tc>
          <w:tcPr>
            <w:tcW w:w="3700" w:type="dxa"/>
          </w:tcPr>
          <w:p w14:paraId="48E4BB5C" w14:textId="26D2F836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5816" w:type="dxa"/>
          </w:tcPr>
          <w:p w14:paraId="7E65E876" w14:textId="77E8DFE5" w:rsidR="004B52F0" w:rsidRPr="00D94AA5" w:rsidRDefault="00D94AA5" w:rsidP="00496AC3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D94AA5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Humanističke znanosti, znanost o umjetnosti, teatrologija i </w:t>
            </w:r>
            <w:proofErr w:type="spellStart"/>
            <w:r w:rsidRPr="00D94AA5">
              <w:rPr>
                <w:rFonts w:eastAsia="Times New Roman" w:cstheme="minorHAnsi"/>
                <w:color w:val="333333"/>
                <w:sz w:val="20"/>
                <w:szCs w:val="20"/>
              </w:rPr>
              <w:t>dramatologija</w:t>
            </w:r>
            <w:proofErr w:type="spellEnd"/>
          </w:p>
        </w:tc>
      </w:tr>
      <w:tr w:rsidR="004B52F0" w:rsidRPr="00D94AA5" w14:paraId="549141F9" w14:textId="2693FAD1" w:rsidTr="00221AB7">
        <w:tc>
          <w:tcPr>
            <w:tcW w:w="3700" w:type="dxa"/>
          </w:tcPr>
          <w:p w14:paraId="09BDE1EF" w14:textId="51C493A9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5816" w:type="dxa"/>
          </w:tcPr>
          <w:p w14:paraId="1609F8D3" w14:textId="0D83EB9B" w:rsidR="004B52F0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 za kazališnu umjetnost</w:t>
            </w:r>
          </w:p>
        </w:tc>
      </w:tr>
      <w:tr w:rsidR="004B52F0" w:rsidRPr="00D94AA5" w14:paraId="1303645A" w14:textId="179B626A" w:rsidTr="00221AB7">
        <w:tc>
          <w:tcPr>
            <w:tcW w:w="3700" w:type="dxa"/>
          </w:tcPr>
          <w:p w14:paraId="639CD77B" w14:textId="222D62BB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5816" w:type="dxa"/>
          </w:tcPr>
          <w:p w14:paraId="3F1B32FB" w14:textId="704B2E9E" w:rsidR="004B52F0" w:rsidRPr="00D94AA5" w:rsidRDefault="00D94AA5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prema dogovoru</w:t>
            </w:r>
          </w:p>
        </w:tc>
      </w:tr>
      <w:tr w:rsidR="004B52F0" w:rsidRPr="00D94AA5" w14:paraId="5FF82BE1" w14:textId="117FA30D" w:rsidTr="00221AB7">
        <w:tc>
          <w:tcPr>
            <w:tcW w:w="3700" w:type="dxa"/>
          </w:tcPr>
          <w:p w14:paraId="042D7BEF" w14:textId="7D2B08D8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5816" w:type="dxa"/>
          </w:tcPr>
          <w:p w14:paraId="689ED15C" w14:textId="53CE1649" w:rsidR="00932C8B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12</w:t>
            </w:r>
          </w:p>
        </w:tc>
      </w:tr>
      <w:tr w:rsidR="004B52F0" w:rsidRPr="00D94AA5" w14:paraId="0FCCBA29" w14:textId="2FD293A2" w:rsidTr="00221AB7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3C768631" w14:textId="35BA6D69" w:rsidR="00932C8B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hyperlink r:id="rId8" w:history="1">
              <w:r w:rsidRPr="00D94AA5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lrafolt@gmail.com</w:t>
              </w:r>
            </w:hyperlink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; 0993735890</w:t>
            </w:r>
          </w:p>
        </w:tc>
      </w:tr>
      <w:tr w:rsidR="00B41FF1" w:rsidRPr="00D94AA5" w14:paraId="35AD3B9B" w14:textId="2A06E590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65A17E08" w14:textId="77777777" w:rsidR="00B41FF1" w:rsidRPr="00D94AA5" w:rsidRDefault="00B41FF1" w:rsidP="00B41F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94AA5" w14:paraId="0E86E209" w14:textId="7F6CE600" w:rsidTr="00221AB7">
        <w:tc>
          <w:tcPr>
            <w:tcW w:w="3700" w:type="dxa"/>
          </w:tcPr>
          <w:p w14:paraId="7559A367" w14:textId="77777777" w:rsidR="00751F1B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3C0E6008" w14:textId="709CBEA6" w:rsidR="00751F1B" w:rsidRPr="00D94AA5" w:rsidRDefault="00751F1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0FC079D3" w14:textId="6242B4A4" w:rsidR="00E252E2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Teorije izvedbe i izvedbeni studiji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;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Transkulturalizam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izvedba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; Kultura i umjetnost: komparativna povijest ideja 1, 2; 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Žanr: performans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; 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Metode i prakse umjetničkog istraživanja 1, 2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;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Postdramske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kazališne prakse 1, 2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; Politika izvedbe: čitanja; Estetika</w:t>
            </w:r>
          </w:p>
        </w:tc>
      </w:tr>
      <w:tr w:rsidR="004B52F0" w:rsidRPr="00D94AA5" w14:paraId="1EB94B7A" w14:textId="660E55D0" w:rsidTr="00221AB7">
        <w:tc>
          <w:tcPr>
            <w:tcW w:w="3700" w:type="dxa"/>
          </w:tcPr>
          <w:p w14:paraId="679A1F8D" w14:textId="4642F95C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5816" w:type="dxa"/>
          </w:tcPr>
          <w:p w14:paraId="16B033B8" w14:textId="571949F5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 xml:space="preserve">2021 </w:t>
            </w:r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–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 xml:space="preserve"> drugi doktorat iz primijenjene kineziologije, Kineziološki fakultet Sveučilišta u Zagrebu </w:t>
            </w:r>
          </w:p>
          <w:p w14:paraId="00BCE58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 xml:space="preserve">2007-2008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poslijedoktorski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 xml:space="preserve"> studij teorije kulture, kazališta i izvedbenih studija, Sveučilište u Tokiju i Sveučilište u Osaki</w:t>
            </w:r>
          </w:p>
          <w:p w14:paraId="69BE0AB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2006 – prvi doktorat iz komparativne književnosti i kazališnih studija, Filozofski fakultet Sveučilišta u Zagrebu</w:t>
            </w:r>
          </w:p>
          <w:p w14:paraId="16248B2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2003 – diplomski i magistarski studij komparativne književnosti, Filozofski fakultet Sveučilišta u Zagrebu</w:t>
            </w:r>
          </w:p>
          <w:p w14:paraId="4EFEF550" w14:textId="005B53F2" w:rsidR="004B52F0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2003 – diplomski i magistarski studij hrvatskog jezika i književnosti, Filozofski fakultet Sveučilišta u Zagrebu</w:t>
            </w:r>
          </w:p>
        </w:tc>
      </w:tr>
      <w:tr w:rsidR="004B52F0" w:rsidRPr="00D94AA5" w14:paraId="714421DD" w14:textId="2615D55B" w:rsidTr="00221AB7">
        <w:tc>
          <w:tcPr>
            <w:tcW w:w="3700" w:type="dxa"/>
          </w:tcPr>
          <w:p w14:paraId="45914656" w14:textId="389996DC" w:rsidR="001A56D2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</w:t>
            </w:r>
            <w:r w:rsidR="00B41FF1"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savršavanje</w:t>
            </w:r>
          </w:p>
        </w:tc>
        <w:tc>
          <w:tcPr>
            <w:tcW w:w="5816" w:type="dxa"/>
          </w:tcPr>
          <w:p w14:paraId="61144DCE" w14:textId="39A6F2B2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  <w:lang w:val="en-GB"/>
              </w:rPr>
              <w:t>Stipendije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  <w:lang w:val="en-GB"/>
              </w:rPr>
              <w:t>:</w:t>
            </w:r>
          </w:p>
          <w:p w14:paraId="10F30BEF" w14:textId="0E8D62CF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2026 – CTR Fellowship, Wakayama University</w:t>
            </w:r>
          </w:p>
          <w:p w14:paraId="571D802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2025 – Bilateral Fellowship, Kyoto University of the Arts</w:t>
            </w:r>
          </w:p>
          <w:p w14:paraId="21CA3814" w14:textId="101C2E3F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2023 – CEEPUS Fellowship at PROP 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Centre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at the Institute for Western and South-Slavic Studies, University of Warsaw</w:t>
            </w:r>
          </w:p>
          <w:p w14:paraId="65D61DE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2022 – ERASMUS Fellowship at the Faculty of Arts, University of Ljubljana</w:t>
            </w:r>
          </w:p>
          <w:p w14:paraId="6246CB9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2021 – ERASMUS Fellowship at the University of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Primorska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, Faculty of Humanities and Social Sciences</w:t>
            </w:r>
          </w:p>
          <w:p w14:paraId="50FD261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2018, 2019 – University of Osaka, Department of World Literatures</w:t>
            </w:r>
          </w:p>
          <w:p w14:paraId="1AAA153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2019 – CEEPUS Fellowship at PROP Centre at University of Warsaw</w:t>
            </w:r>
          </w:p>
          <w:p w14:paraId="09FCE448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2019 – CEEPUS Fellowship at the Institute of Philology at Pecs University</w:t>
            </w:r>
          </w:p>
          <w:p w14:paraId="45CE56F4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2018 – ERASMUS Fellowship on Performance Studies Program at Northumbria University, Newcastle</w:t>
            </w:r>
          </w:p>
          <w:p w14:paraId="17EA9C58" w14:textId="014656F4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2018 – CEEPUS Fellowship at PROP 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Centre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at the Institute for Western and South-Slavic Studies, University of Warsaw</w:t>
            </w:r>
          </w:p>
          <w:p w14:paraId="1E7C9D4F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2017 – ERASMUS Fellowship at the Institute for Western and South-Slavic Studies, University of Warsaw</w:t>
            </w:r>
          </w:p>
          <w:p w14:paraId="2DABA22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2015 – CEEPUS Fellowship at the Faculty of Arts, University of Ljubljana, Slovenia</w:t>
            </w:r>
          </w:p>
          <w:p w14:paraId="2C78DD28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lastRenderedPageBreak/>
              <w:t>2012 – UNIZG Bilateral Fellowship at University of Tokyo (Department for Literary and Cultural Studies), Japan</w:t>
            </w:r>
          </w:p>
          <w:p w14:paraId="33C90E5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2011 – ERASMUS Fellowship at the Institute for Western and South-Slavic Studies, University of Warsaw, Poland</w:t>
            </w:r>
          </w:p>
          <w:p w14:paraId="4337EC08" w14:textId="6322B1F1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2010 – Bilateral Fellowship at the University of Osaka (Research 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Centre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for World Literatures), Japan</w:t>
            </w:r>
          </w:p>
          <w:p w14:paraId="5366D33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2009 – CEEPUS Fellowship at the Faculty of Arts, University of Ljubljana, Slovenia</w:t>
            </w:r>
          </w:p>
          <w:p w14:paraId="2AC286F4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2009 – Eötvös Loránd University Fellowship, Budapest, Hungary</w:t>
            </w:r>
          </w:p>
          <w:p w14:paraId="03C0168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2008 – Australian Embassy Bilateral Fellowship, University of Sydney, Australia</w:t>
            </w:r>
          </w:p>
          <w:p w14:paraId="2088D52B" w14:textId="77777777" w:rsidR="00221AB7" w:rsidRDefault="00D94AA5" w:rsidP="00496AC3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2007-2008 – Japanese Society for the Promotion of Sciences Fellowship in Cultural Theory at the University of Tokyo (Department for Cultural Studies, Department of Literary Studies), University of Sapporo (Research 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Centre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for World Literatures) and University of Osaka (Research 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Centre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for Conflict Studies in Humanities), Japan</w:t>
            </w:r>
          </w:p>
          <w:p w14:paraId="45587190" w14:textId="77777777" w:rsid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</w:p>
          <w:p w14:paraId="63EA9442" w14:textId="5129833F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Nacionaln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gostujuć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profes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ure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:</w:t>
            </w:r>
          </w:p>
          <w:p w14:paraId="3946A6D5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2017-danas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gostujući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profesor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doktorskog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humanističkih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znanosti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Zagrebu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, Hrvatska</w:t>
            </w:r>
          </w:p>
          <w:p w14:paraId="667B17B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2017-danas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gostujući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profesor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doktorskog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performansa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Doktorski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Osijeku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, Hrvatska</w:t>
            </w:r>
          </w:p>
          <w:p w14:paraId="1B499542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2013-danas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gostujući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profesor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doktorskom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humanističkih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znanosti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Splitu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, Hrvatska</w:t>
            </w:r>
          </w:p>
          <w:p w14:paraId="70EFCD48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2008-danas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gostujući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profesor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doktorskog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drame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performansa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Osijeku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, Hrvatska</w:t>
            </w:r>
          </w:p>
          <w:p w14:paraId="3AA327D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2016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gostujući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profesor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humanističkih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znanosti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Puli, Hrvatska</w:t>
            </w:r>
          </w:p>
          <w:p w14:paraId="203D018F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2016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gostujući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profesor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humanističkih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znanosti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Dubrovniku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, Hrvatska</w:t>
            </w:r>
          </w:p>
          <w:p w14:paraId="5F718E3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</w:p>
          <w:p w14:paraId="226A71FC" w14:textId="2AF4CEA5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Međunarodne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gostujuće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profesure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:</w:t>
            </w:r>
          </w:p>
          <w:p w14:paraId="68A39062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2025 – Visiting Fellow at Wakayama University</w:t>
            </w:r>
          </w:p>
          <w:p w14:paraId="65E6F68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2025 – Visiting Fellow at Kyoto University of the Arts</w:t>
            </w:r>
          </w:p>
          <w:p w14:paraId="688BE38B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2020-2022 - Visiting Fellow at Faculty of Arts, University of Ljubljana </w:t>
            </w:r>
          </w:p>
          <w:p w14:paraId="59A5312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2018-2019 – MA Program Visiting Professor at University of Osaka, Department of World Literatures</w:t>
            </w:r>
          </w:p>
          <w:p w14:paraId="315C517B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2016 - Visiting Professor in Humanities,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Center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for Cultural and Literary Studies, University of Tokyo, Japan</w:t>
            </w:r>
          </w:p>
          <w:p w14:paraId="3DAEB61F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2016-2018 – MA Program Visiting Professor in Theatre and Performance Studies, University of Krakow, Poland</w:t>
            </w:r>
          </w:p>
          <w:p w14:paraId="728DA65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2016-2018 – MA Program Visiting Professor in Theatre and Performance Studies, University of Warsaw, Poland</w:t>
            </w:r>
          </w:p>
          <w:p w14:paraId="3F32503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2016-2018 – MA Program Visiting Professor in Humanities (South-Slavic Literatures and Cultures), University of Katowice and Sosnowiec, Poland</w:t>
            </w:r>
          </w:p>
          <w:p w14:paraId="083BF8EB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2010-2017 – MA Program Visiting Professor in Humanities (South-Slavic Literatures and Cultures, Theatre Studies), Faculty of Arts, University of Ljubljana, Slovenia</w:t>
            </w:r>
          </w:p>
          <w:p w14:paraId="7FC905E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lastRenderedPageBreak/>
              <w:t xml:space="preserve">2009 – MA Program Visiting Professor in Humanities,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Center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for Cultural and Literary Studies, University of Tokyo, Japan</w:t>
            </w:r>
          </w:p>
          <w:p w14:paraId="5DF4EB3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2009 – MA Program Visiting Professor in Humanities, Research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Center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for Conflict Studies in Humanities, University of Osaka, Japan</w:t>
            </w:r>
          </w:p>
          <w:p w14:paraId="17EFF3D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2009 – MA Program Visiting Professor in Humanities,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Center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for Slavic Studies, University of Sapporo, Japan</w:t>
            </w:r>
          </w:p>
          <w:p w14:paraId="6B6A8A05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2008 – MA Program Visiting Professor in Humanities (South-Slavic Literatures and Cultures), La Sorbonne, Paris VI, France</w:t>
            </w:r>
          </w:p>
          <w:p w14:paraId="713DD8E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2008-2009 – MA Program Visiting Professor in Humanities (South-Slavic Literatures and Cultures, Theatre Studies), University of Katowice and Sosnowiec, Poland</w:t>
            </w:r>
          </w:p>
          <w:p w14:paraId="6CB5FB5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2008 – MA Program Visiting Professor in Humanities (South-Slavic Literatures and Cultures, Theatre Studies), University of Wroclaw, Poland</w:t>
            </w:r>
          </w:p>
          <w:p w14:paraId="1C781D1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2006-2007 – MA Program Visiting Professor in Humanities (South-Slavic Literatures and Cultures, Theatre Studies), Faculty of Arts, University of Ljubljana, Slovenia</w:t>
            </w:r>
          </w:p>
          <w:p w14:paraId="47009EC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2006 – MA Program Visiting Professor in Humanities (South-Slavic Literatures and Cultures), University La Sapienza, Italy</w:t>
            </w:r>
          </w:p>
          <w:p w14:paraId="30429F3D" w14:textId="77777777" w:rsid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2006 – AAASS Visiting Professor in South-Slavic Studies, Washington University, USA</w:t>
            </w:r>
          </w:p>
          <w:p w14:paraId="69E5F4E1" w14:textId="77777777" w:rsid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</w:p>
          <w:p w14:paraId="55718922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Odabrane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međunarodne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konferencije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:</w:t>
            </w:r>
          </w:p>
          <w:p w14:paraId="7FA6CF2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Identity and Difference: Production of Cultural Stereotypes,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Lovran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2005</w:t>
            </w:r>
          </w:p>
          <w:p w14:paraId="3D667B1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Slavic Studies Congress,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Varaždin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2006</w:t>
            </w:r>
          </w:p>
          <w:p w14:paraId="1F8CEC8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American Association for the Advancement of Slavic Studies Conference, Washington 2006</w:t>
            </w:r>
          </w:p>
          <w:p w14:paraId="7C5A182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Comparative Literary History Conference, Split 2005</w:t>
            </w:r>
          </w:p>
          <w:p w14:paraId="275E9E9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Comparative Literary History Conference, Split 2006</w:t>
            </w:r>
          </w:p>
          <w:p w14:paraId="73F5CBE8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Comparative Literary History Conference, Split 2007</w:t>
            </w:r>
          </w:p>
          <w:p w14:paraId="379C7C11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fr-FR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fr-FR"/>
              </w:rPr>
              <w:t xml:space="preserve">Marin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fr-FR"/>
              </w:rPr>
              <w:t>Držić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fr-FR"/>
              </w:rPr>
              <w:t xml:space="preserve"> – A Renaissance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fr-FR"/>
              </w:rPr>
              <w:t>Lighthouse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fr-FR"/>
              </w:rPr>
              <w:t>, Paris 2008</w:t>
            </w:r>
          </w:p>
          <w:p w14:paraId="09506A8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Marin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Držić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: 1508–2008, Zagreb 2008</w:t>
            </w:r>
          </w:p>
          <w:p w14:paraId="6D13620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Literature and Culture after Linguistic Turn, Budapest 2013</w:t>
            </w:r>
          </w:p>
          <w:p w14:paraId="1BA5A8F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Humanities Challenge, Poznan 2013</w:t>
            </w:r>
          </w:p>
          <w:p w14:paraId="3D4F417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Rethinking History, Timisoara 2014</w:t>
            </w:r>
          </w:p>
          <w:p w14:paraId="248FBEF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Intercultural Turn, Osaka 2014</w:t>
            </w:r>
          </w:p>
          <w:p w14:paraId="399CB9F4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Shifting Dialogues, Helsinki 2014</w:t>
            </w:r>
          </w:p>
          <w:p w14:paraId="4C96AB65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Romanian Slavic Congress Meeting, Bucharest 2015</w:t>
            </w:r>
          </w:p>
          <w:p w14:paraId="4B3A0ECB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Narratology an Its Dispossessed, Zagreb 2017</w:t>
            </w:r>
          </w:p>
          <w:p w14:paraId="0D565811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Topologies of Thinking, Zagreb 2017</w:t>
            </w:r>
          </w:p>
          <w:p w14:paraId="447D413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Institutions after 1989, Warsaw 2017</w:t>
            </w:r>
          </w:p>
          <w:p w14:paraId="143CC2C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Theatre between Politics and Policies: New Challenges, Belgrade 2018</w:t>
            </w:r>
          </w:p>
          <w:p w14:paraId="7A097BFF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Association for the Study of the Arts of the Present Conference, Amsterdam 2018</w:t>
            </w:r>
          </w:p>
          <w:p w14:paraId="58E6E3D1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Cultural Mobility of Performance and Performance studies, Krakow 2018</w:t>
            </w:r>
          </w:p>
          <w:p w14:paraId="2CBE9E45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Migration Theories, Split 2019.</w:t>
            </w:r>
          </w:p>
          <w:p w14:paraId="27CA92A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lastRenderedPageBreak/>
              <w:t>Butoh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Encounters, Oslo 2019.</w:t>
            </w:r>
          </w:p>
          <w:p w14:paraId="21683B54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Covid Crises in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Bioetic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Surrounding, Split 2020.</w:t>
            </w:r>
          </w:p>
          <w:p w14:paraId="36B8BD4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Modernism in Translation, Lublin 2023.</w:t>
            </w:r>
          </w:p>
          <w:p w14:paraId="68419292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Rethinking Crisis, Osijek 2024.</w:t>
            </w:r>
          </w:p>
          <w:p w14:paraId="36A0E612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</w:p>
          <w:p w14:paraId="55A7241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Organizacija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suorganizacija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konferencija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:</w:t>
            </w:r>
          </w:p>
          <w:p w14:paraId="08217C1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2004 – European Framework of Croatian Literature, Zagreb School of Slavic Studies</w:t>
            </w:r>
          </w:p>
          <w:p w14:paraId="07A2A5D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2005 – Popular Culture and Literature, Zagreb School of Slavic Studies</w:t>
            </w:r>
          </w:p>
          <w:p w14:paraId="05C041D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2006 – Ideology and Literature, Zagreb School of Slavic Studies</w:t>
            </w:r>
          </w:p>
          <w:p w14:paraId="3BAB3CD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2018 – Public Sphere between Theory and Artistic Intervention, Doctoral School, Josip Juraj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Strossmayer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 University in Osijek</w:t>
            </w:r>
          </w:p>
          <w:p w14:paraId="334A96A5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</w:p>
          <w:p w14:paraId="4F81FFC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Povjerenstva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akreditaciju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evaluaciju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visokih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učilišta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:</w:t>
            </w:r>
          </w:p>
          <w:p w14:paraId="493F165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2026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Bucarest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, Sibiu, Iasi, Doctoral Programs, Romania</w:t>
            </w:r>
          </w:p>
          <w:p w14:paraId="1449E52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2025 – Pristina, Academy of Arts</w:t>
            </w:r>
          </w:p>
          <w:p w14:paraId="71E8A3D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2023 – AICA, Academy of Music, Riga, Latvia</w:t>
            </w:r>
          </w:p>
          <w:p w14:paraId="04E2626D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2022 – AZVO, The Academy of Drama and Theatre, University of Zagreb</w:t>
            </w:r>
          </w:p>
          <w:p w14:paraId="7BE691B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 xml:space="preserve">2021 – Doctoral Programmes, Romania, University of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Timisoar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, Iasi, Bucharest, Sibiu</w:t>
            </w:r>
          </w:p>
          <w:p w14:paraId="576FFF94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2015 – AZVO, The Academy of Arts, University of Split; The Academy of Arts, University of Pula</w:t>
            </w:r>
          </w:p>
          <w:p w14:paraId="7EACA74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2016 – AZVO, Faculty of Philosophy, University of Split; Faculty of Philosophy, University of Pula</w:t>
            </w:r>
          </w:p>
          <w:p w14:paraId="409B53A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  <w:t>2017 – AZVO, Humanities Program, University of Dubrovnik</w:t>
            </w:r>
          </w:p>
          <w:p w14:paraId="21E5BC8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</w:p>
          <w:p w14:paraId="057E9F7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Popularizacija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istraživanja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: </w:t>
            </w:r>
          </w:p>
          <w:p w14:paraId="65B7C3C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2015 – TV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emisija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Hrvatski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velikani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redatelj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Robert Knjaz</w:t>
            </w:r>
          </w:p>
          <w:p w14:paraId="55DEDB0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2015-2022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savjetnik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izvedbene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Hrvatskom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narodnom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Zagrebačkom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mladih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Zagrebu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plakati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letci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promotivni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materijali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  <w:p w14:paraId="6185495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2017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danas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organizacija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okruglih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stolova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Akademiji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kulturu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Josipa Jurja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Strossmayera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Osijeku</w:t>
            </w:r>
            <w:proofErr w:type="spellEnd"/>
          </w:p>
          <w:p w14:paraId="515ACE51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2023-danas -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savjetnik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izvedbene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Istarskom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narodnom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Puli (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plakati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letci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promotivni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materijali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  <w:p w14:paraId="2EA6CEFD" w14:textId="56B213C9" w:rsidR="00D94AA5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2023-danas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koordinator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otvorenih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predavanja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javnih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predavanja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Istarskom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narodnom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Puli</w:t>
            </w:r>
          </w:p>
        </w:tc>
      </w:tr>
      <w:tr w:rsidR="004B52F0" w:rsidRPr="00D94AA5" w14:paraId="29FF00E3" w14:textId="505F8BF6" w:rsidTr="00221AB7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78D6B308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područje umjetničko/znanstveno/stručno-istraživačkog interesa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C894437" w14:textId="54B1310C" w:rsidR="004B52F0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Performativna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antropologija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izvedbeni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transkulturalizam</w:t>
            </w:r>
            <w:proofErr w:type="spellEnd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kulturalni</w:t>
            </w:r>
            <w:proofErr w:type="spellEnd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studiji</w:t>
            </w:r>
            <w:proofErr w:type="spellEnd"/>
          </w:p>
        </w:tc>
      </w:tr>
      <w:tr w:rsidR="004B52F0" w:rsidRPr="00D94AA5" w14:paraId="2A6FDD59" w14:textId="390AE8BE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728F971D" w14:textId="77777777" w:rsidR="004B52F0" w:rsidRPr="00D94AA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94AA5" w14:paraId="2CD84C48" w14:textId="09A5286D" w:rsidTr="00221AB7">
        <w:tc>
          <w:tcPr>
            <w:tcW w:w="3700" w:type="dxa"/>
          </w:tcPr>
          <w:p w14:paraId="21EC2CFA" w14:textId="77777777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AF324D2" w14:textId="5E5E418F" w:rsidR="00D53B31" w:rsidRPr="00D94AA5" w:rsidRDefault="00D53B3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200C9EDD" w14:textId="2CB36ABC" w:rsidR="004B52F0" w:rsidRPr="00D94AA5" w:rsidRDefault="00D94AA5" w:rsidP="00A56A76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-</w:t>
            </w:r>
          </w:p>
        </w:tc>
      </w:tr>
      <w:tr w:rsidR="004B52F0" w:rsidRPr="00D94AA5" w14:paraId="09DD6582" w14:textId="1F373FC8" w:rsidTr="00221AB7">
        <w:tc>
          <w:tcPr>
            <w:tcW w:w="3700" w:type="dxa"/>
          </w:tcPr>
          <w:p w14:paraId="00F31E48" w14:textId="75E50BFD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znanstvenih radova</w:t>
            </w:r>
          </w:p>
        </w:tc>
        <w:tc>
          <w:tcPr>
            <w:tcW w:w="5816" w:type="dxa"/>
          </w:tcPr>
          <w:p w14:paraId="66F91F13" w14:textId="26EF8BED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  <w:t>Autorske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  <w:t>k</w:t>
            </w:r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  <w:t>njige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  <w:t>:</w:t>
            </w:r>
          </w:p>
          <w:p w14:paraId="4022F242" w14:textId="79485531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Melpomenine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maske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fenomenologija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žanra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tragedije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dubrovačkom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ranonovovjekovlju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Disput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2007.</w:t>
            </w:r>
          </w:p>
          <w:p w14:paraId="17B49A55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lastRenderedPageBreak/>
              <w:t>Odbrojavanje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antologija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suvremene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2007.</w:t>
            </w:r>
          </w:p>
          <w:p w14:paraId="069165E1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Drugo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lice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drugosti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književnoantropološke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studije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Disput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2009.</w:t>
            </w:r>
          </w:p>
          <w:p w14:paraId="12FE28A8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Priučen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tumačenje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deset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čitanja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2011.</w:t>
            </w:r>
          </w:p>
          <w:p w14:paraId="3B6A662F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Odbačeni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predmet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između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filologije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izvedbe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Matica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2017.</w:t>
            </w:r>
          </w:p>
          <w:p w14:paraId="7BDEF8E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Tijelo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glagol: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japanski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budo,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transkulturalne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tehnike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trening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izvedbu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Klinika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kreativnosti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Akademija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kulturu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Sveučilišta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J. J.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Strossmayera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Osijeku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Grad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Đakovo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Osijek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Đakovo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2019.</w:t>
            </w:r>
          </w:p>
          <w:p w14:paraId="33FFC25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Virus in fabula,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Meandarmedia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2020.</w:t>
            </w:r>
          </w:p>
          <w:p w14:paraId="75CF200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Chorégraphie de l'éphémère, Paris,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Theatroom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2021.</w:t>
            </w:r>
          </w:p>
          <w:p w14:paraId="260B9A2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Preskočene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niti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Matica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2021.</w:t>
            </w:r>
          </w:p>
          <w:p w14:paraId="2624E731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Montažstroj’s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Emancipatory Performance Politics: Never Mind the Score, New York, London, Lexington Books, Rowman and Littlefield 2022.</w:t>
            </w:r>
          </w:p>
          <w:p w14:paraId="70C5F84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Tijelo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nacije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uvod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japanski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budo,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Institut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etnologiju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folkloristiku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 AUK</w:t>
            </w:r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Zagreb 2023. </w:t>
            </w:r>
          </w:p>
          <w:p w14:paraId="75D36FF8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M/F x Staging an/d Archive,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Oaza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Castropola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Zagreb, Pula 2023.</w:t>
            </w:r>
          </w:p>
          <w:p w14:paraId="45083120" w14:textId="77777777" w:rsidR="004B52F0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Izdužen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formi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jajeta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transverzalna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čitanja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Fraktura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2026.</w:t>
            </w:r>
          </w:p>
          <w:p w14:paraId="5DE60DCC" w14:textId="77777777" w:rsid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93335AA" w14:textId="2A590808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Uredničke knjige:</w:t>
            </w:r>
          </w:p>
          <w:p w14:paraId="1DFB998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Leksikon Marina Držića, LZMK, ed. with Mirjana Mataija, Milovan Tatarin, and Slobodan P. Novak, Zagreb 2009. /Volume 1-2/</w:t>
            </w:r>
          </w:p>
          <w:p w14:paraId="583C91E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Miljenko Majetić,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Između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Hekube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Rabbija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2017.</w:t>
            </w:r>
          </w:p>
          <w:p w14:paraId="26B51811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Public Sphere between Theory, Media, and Artistic Intervention, Josip Juraj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Strossmayer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University in Osijek, Osijek 2019.</w:t>
            </w:r>
          </w:p>
          <w:p w14:paraId="0C6907E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Joseph Texte, Jean-Jacques Rousseau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ishodišta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kozmopolitizma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Matica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2019.</w:t>
            </w:r>
          </w:p>
          <w:p w14:paraId="3461574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Jean-Luc, Jeener,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Kazalište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samrti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Matica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2019.</w:t>
            </w:r>
          </w:p>
          <w:p w14:paraId="155E0C4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Mika Hannula, Juha Suoranta, Tere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Vadén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Umjetničko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istraživanje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teorije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metode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prakse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Klinika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kreativnosti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Akademija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kulturu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Sveučilišta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J. J.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Strossmayera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Osijeku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Grad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Đakovo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Osijek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Đakovo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2021.</w:t>
            </w:r>
          </w:p>
          <w:p w14:paraId="540985D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Dubravko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Mataković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monografija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with Hrvoje Duvnjak), GKĐ,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Đakovo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2022.</w:t>
            </w:r>
          </w:p>
          <w:p w14:paraId="0C613E1D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Mika Hannula, Missing in Action,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Akademija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kulturu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Sveučilišta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J. J.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Strossmayera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Osijeku, Osijek 2024.</w:t>
            </w:r>
          </w:p>
          <w:p w14:paraId="73F5DA10" w14:textId="77777777" w:rsid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Practicing Communities in Post-Yugoslav Theatre and Performance, Bloomsbury, New York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2026.</w:t>
            </w:r>
          </w:p>
          <w:p w14:paraId="6DCEF718" w14:textId="77777777" w:rsid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</w:p>
          <w:p w14:paraId="696B1792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Znanstveno-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istraživački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radovi</w:t>
            </w:r>
            <w:proofErr w:type="spellEnd"/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r w:rsidRPr="00D94AA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  <w:t>(peer-reviewed):</w:t>
            </w:r>
          </w:p>
          <w:p w14:paraId="4C743114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“America and Non-European World in the Plays of Josip Kosor's Parisian Cycle”,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Neohelicon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Acta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Comparationis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Litterarum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Universarum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2006, 33, 2.</w:t>
            </w:r>
          </w:p>
          <w:p w14:paraId="208B9B78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“Amerika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neeropski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svijet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Kosorova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pariškog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ciklusa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Kulturni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stereotipi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koncepti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identiteta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srednjoeuropskim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lastRenderedPageBreak/>
              <w:t>književnostima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eds. Dubravka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Oraić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Tolić and Erno Kulcsar Szabo, FF press [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. e.]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Zavod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znanost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2006.</w:t>
            </w:r>
          </w:p>
          <w:p w14:paraId="26D7FDD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Transkulturalna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interkulturalna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modernistička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dramaturgija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Radovana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Ivšića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Sunčani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grad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'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totalni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teatar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'“,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smotra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1, 2007.</w:t>
            </w:r>
          </w:p>
          <w:p w14:paraId="47322A9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Intertekstualni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odnos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Pseudo-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Kalistenova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romana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Aleksandru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Velikom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srednjovjekovne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Aleksandride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Mogućnosti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1-3, 2001.</w:t>
            </w:r>
          </w:p>
          <w:p w14:paraId="6A991555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Odgođeni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oproštaj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modusi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pjesničkog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svijeta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Ujevićevoj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Kolajni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Republika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5-6, 2002.</w:t>
            </w:r>
          </w:p>
          <w:p w14:paraId="0DD4515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Apsolutno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pravo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priču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”, Kolo, 2, 2001.</w:t>
            </w:r>
          </w:p>
          <w:p w14:paraId="2541734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Čin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riječi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ili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što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još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vrag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odnio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Dubrovačka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trilogija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imperativ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prošlosti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Vojnovićevo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kategoričko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Ne) “, Dubrovnik, 3, 2002.</w:t>
            </w:r>
          </w:p>
          <w:p w14:paraId="5AF09AF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Tekst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povijest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identitet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rad Stanka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Andrića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republika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9-10, 2003.</w:t>
            </w:r>
          </w:p>
          <w:p w14:paraId="5B75378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“Orfeo: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fragment Mavra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Vetranovića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Čavčića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 (with Milovan Tatarin), Hrvatska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baština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3, eds. Dunja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Fališevac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Josip Lisac, and Darko Novaković,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Exlibris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2004.</w:t>
            </w:r>
          </w:p>
          <w:p w14:paraId="3AE08C1D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“Slobodan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Prosperov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Novak,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tko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je to? Ili: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pozadini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jednog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projekta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kanonizacije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povijesti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republika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3-4, 2004.</w:t>
            </w:r>
          </w:p>
          <w:p w14:paraId="536C0C5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Autoritet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imenovanja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žanra</w:t>
            </w:r>
            <w:proofErr w:type="spellEnd"/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):</w:t>
            </w:r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trag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(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ikom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)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edija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melodrama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libretistička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drama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”, Kolo, 1, 2006.</w:t>
            </w:r>
          </w:p>
          <w:p w14:paraId="7322AE0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Žudnja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kao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metafora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:</w:t>
            </w:r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'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sveopći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libido'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Ivančeva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Don Juana”,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Komparativna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povijest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književnosti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radova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VIII. (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Hrvatska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književnost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prema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europskim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/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emisija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recepcija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/ 1940-1970) sa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znanstvenog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skupa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održanog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22-23. </w:t>
            </w:r>
            <w:proofErr w:type="spellStart"/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rujna</w:t>
            </w:r>
            <w:proofErr w:type="spellEnd"/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2005. </w:t>
            </w:r>
            <w:proofErr w:type="spellStart"/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godine</w:t>
            </w:r>
            <w:proofErr w:type="spellEnd"/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Splitu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, 8,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eds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. 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Cvijeta Pavlović and Vinka Glunčić-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Bužanić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krug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Split 2006.</w:t>
            </w:r>
          </w:p>
          <w:p w14:paraId="147B8B34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velikome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mehanizmu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povijesti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ili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njegovim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aporijama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Elizabetinci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Ivšić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Kott: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unakrsno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čitanje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Komparativna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povijest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9, eds. Cvijeta Pavlović and Vinka Glunčić-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Bužanić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krug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Split 2007.</w:t>
            </w:r>
          </w:p>
          <w:p w14:paraId="62980E2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Ludičko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političko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'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komedijama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' Nikole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Nalješkovića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Pučka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krv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plemstvo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duha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radova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Nikoli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Nalješkoviću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ed. Davor Dukić,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Disput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2005.</w:t>
            </w:r>
          </w:p>
          <w:p w14:paraId="7E63B3D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Ženski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identitet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četirima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dubrovačkim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renesansnim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tragedijama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Dani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hvarskog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kazališta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32,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Prostor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granice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kazališta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HAZU -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krug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- Split 2006.</w:t>
            </w:r>
          </w:p>
          <w:p w14:paraId="51F7893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Zabilješke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jednome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poglavlju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suvremene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znanosti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nove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tendencije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interpretativne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paradigme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(2005-2006)”,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2007.</w:t>
            </w:r>
          </w:p>
          <w:p w14:paraId="2056CBEF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Dijalozi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problemima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pitome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drugosti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:</w:t>
            </w:r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Stanko Lasić,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Erazmo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Rotterdamski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europski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studiji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Nova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Croatica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2007, 1.</w:t>
            </w:r>
          </w:p>
          <w:p w14:paraId="3CDA4CF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Tektonsko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pomicanje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intresa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2008.</w:t>
            </w:r>
          </w:p>
          <w:p w14:paraId="1DC781F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Profil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ubojice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dubrovačkim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renesansnim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tragedijama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Čovjek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prostor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vrijeme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književnoantropološke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studije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lastRenderedPageBreak/>
              <w:t>književnosti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eds.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Živa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Benčić and Dunja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Fališevac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Disput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2006.</w:t>
            </w:r>
          </w:p>
          <w:p w14:paraId="09D1993B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Suvremena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drama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ili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kakvome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je to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odbrojavanju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riječ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?”,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Odbrojavanje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antologija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suvremene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2007.</w:t>
            </w:r>
          </w:p>
          <w:p w14:paraId="48F01E4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“S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onu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stranu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žanra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kratka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povijest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tragedije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svjetlu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ranonovovjekovnih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normativnih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poetika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Umjetnost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riječi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51, 2007, 3-4.</w:t>
            </w:r>
          </w:p>
          <w:p w14:paraId="3EC5C22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Pribilješke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tranzicijama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suvremene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kritike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Sarajevske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sveske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2008, 17.</w:t>
            </w:r>
          </w:p>
          <w:p w14:paraId="43B68639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Držićeve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koncepcije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tijela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tjelesnosti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istraživanje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seksualnih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alteriteta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ranom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novovjekovlju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Marin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Držić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svjetionik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dubrovačke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renesanse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eds. Paul Louis Thomas and Sava Anđelković,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Disput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2009.</w:t>
            </w:r>
          </w:p>
          <w:p w14:paraId="4C47FEB1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Neoplatoničke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koncepcije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Držićevim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dramskim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prolozima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Marin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Držić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1508–2008.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radova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s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Međunarodnoga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znanstvenog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skupa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održanog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5–7.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studenoga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2008.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eds. Nikola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Batušić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and Dunja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Fališevac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Zagreb, HAZU, 2010.</w:t>
            </w:r>
          </w:p>
          <w:p w14:paraId="010298CF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“Stereotypes on the Borderline: Hungarians as Otherness in Croatian Literature and Culture”, Lingua-Culture Contextual Studies in Ethnic Conflict of the Worlds, 2010, 18.</w:t>
            </w:r>
          </w:p>
          <w:p w14:paraId="5BACDBC5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Nepovoljna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vremena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rađanje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nacije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ideološkim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supstratima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Vojnovićeva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dramskog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stvaralaštva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njihovu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prešutnom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kontinuitetu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)”,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smotra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42, 2010, 2 (reprinted in: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ed. Krešimir Mićanović, FFZG, ZSS, Zagreb 2010).</w:t>
            </w:r>
          </w:p>
          <w:p w14:paraId="1177F29B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Bungaku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jinruigaku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e no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shôtai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gakusaiteki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kenkyû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hôhôron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” / “Interdisciplinary Field of Literary Anthropology: An Introduction”, Conflict Studies in the Humanities, 3, 2011.</w:t>
            </w:r>
          </w:p>
          <w:p w14:paraId="41A2E1AD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nekim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aspektima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Držićeve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tragičke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dramaturgije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Putovima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kanonizacije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radova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Marinu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Držiću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(1508-2008), eds. Nikola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Batušić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and Dunja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Fališevac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HAZU, Zagreb 2009.</w:t>
            </w:r>
          </w:p>
          <w:p w14:paraId="20B87A9F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Oslobođenje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Betulije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Antuna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Gleđevića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jedna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nizu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'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scenskih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Judita</w:t>
            </w:r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'“ (</w:t>
            </w:r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with Milovan Tatarin),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Građa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povijest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2009.</w:t>
            </w:r>
          </w:p>
          <w:p w14:paraId="6044F842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Kropka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nad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zarys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wstępu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współczesnego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dramatu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chorwackiego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Kroatywni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Dramat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chorwacki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po 1990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roku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ed. Leszek Malczak, Katowice 2012.</w:t>
            </w:r>
          </w:p>
          <w:p w14:paraId="50F4D54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Ekonomijom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pojmova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uhvatiti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pravo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značenje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Japan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nestabilni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označitelj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Hrvatska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revija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1, 2013.</w:t>
            </w:r>
          </w:p>
          <w:p w14:paraId="5BA7658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Otpor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prema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kanonizaciji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nekim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modelima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uspostave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kanonske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vrijednosti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držićologiji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izvan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Otpor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subverzivne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prakse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jeziku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kulturi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ed. Tvrtko Vuković,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2014.</w:t>
            </w:r>
          </w:p>
          <w:p w14:paraId="3FEDD5BD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“Ritual formalism and the intangible body of the Japanese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koryu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budo culture”,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Narodna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/Folklore Research, 2014, 51, 1.</w:t>
            </w:r>
          </w:p>
          <w:p w14:paraId="222D7F44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“Ritual formalism and the Japanese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koryu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budo: A socio-anthropological approach”, 7th International Scientific Conference on Kinesiology: Fundamental and Applied Kinesiology – Steps Forward: Proceedings, eds. Dragan Milanović and Goran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Sporiš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University of Zagreb, Faculty of Kinesiology, 2014.</w:t>
            </w:r>
          </w:p>
          <w:p w14:paraId="467811B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lastRenderedPageBreak/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Teror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(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izam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dokumentarizma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devedesetih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Murakamijevo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Podzemlje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zrcalni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uvod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japansku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psihu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smotra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2014, 171.</w:t>
            </w:r>
          </w:p>
          <w:p w14:paraId="074D8F2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Interkulturalno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glokalno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između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nacionalne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filologije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komparatistike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smotra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2014, 174.</w:t>
            </w:r>
          </w:p>
          <w:p w14:paraId="4579789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Subjekt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objekt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fotografskog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diskurza: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modusima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arhiviranja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fakticiteta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smotra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2014, 175.</w:t>
            </w:r>
          </w:p>
          <w:p w14:paraId="60137C1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“Sala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declamationum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isusovačka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tragedija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svjetlu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posttridentinskog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kazališnog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pedagoškog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interkulturalizma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(I)”,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istorija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2015, 155.</w:t>
            </w:r>
          </w:p>
          <w:p w14:paraId="668C4C4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“Sala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declamationum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isusovačka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tragedija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svjetlu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posttridentinskog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kazališnog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pedagoškog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interkulturalizma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(II)”,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istorija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2015, 156.</w:t>
            </w:r>
          </w:p>
          <w:p w14:paraId="2F573C6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Identitet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alteritet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Vinko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Paletin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geopolitika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novootkrivenog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svijeta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 (with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Maroje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Burum),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Romanoslavica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2016, 2.</w:t>
            </w:r>
          </w:p>
          <w:p w14:paraId="40B4F184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Stiliziraj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ili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snosi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posljedice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o performativnosti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akademskog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diskurza”,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republika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2015, 4-6.</w:t>
            </w:r>
          </w:p>
          <w:p w14:paraId="78A23455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“Transcultural and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Transcorporal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Neighbors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: Japanese Performance Utopias in Jerzy Grotowski, Eugenio Barba and Phillip B. Zarrilli”, Colloquia Humanistica, 2015, 4.</w:t>
            </w:r>
          </w:p>
          <w:p w14:paraId="01BEA9D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“La philologie en tant que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mathèse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sur le paradigmatisme de l’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énoncement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de la vérité dans les sciences humaines”, Le Fantôme de la Liberté, 2016, 3-4.</w:t>
            </w:r>
          </w:p>
          <w:p w14:paraId="0A86C52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Teologija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urote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:</w:t>
            </w:r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čitanje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Držićevih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pisama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Cosimu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I. 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Francescu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Mediciju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riječi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, 2016, 1-2.</w:t>
            </w:r>
          </w:p>
          <w:p w14:paraId="6F46EC92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“Sala </w:t>
            </w:r>
            <w:proofErr w:type="spellStart"/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declamationum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:</w:t>
            </w:r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isusovačka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tragedija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Dubrovniku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Tridentska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baština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Katolička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obnova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konfesionalizacija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hrvatskim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zemljama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radova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eds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Zrinka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Blažević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Lahorka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Plejić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Poje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Matica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hrvatska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fr-FR"/>
              </w:rPr>
              <w:t>, Zagreb 2017.</w:t>
            </w:r>
          </w:p>
          <w:p w14:paraId="0EEE87BB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“Meyerhold Bound: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Montažstroj’s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Vatrotehna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(2.0) and the Barbaric Discipline of the Machine”, Colloquia Humanistica, 2017, 6.</w:t>
            </w:r>
          </w:p>
          <w:p w14:paraId="6FD9CE72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Teologia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spisku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drobna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przyjemność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grze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suwerennością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Przekłady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Literatur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Słowiańskich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2017, 8, 1.</w:t>
            </w:r>
          </w:p>
          <w:p w14:paraId="11D1F07D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“Forsythe x Ikeda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onkraj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formule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multiplikacije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ili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algoritmu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razlika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Narodna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/Folklore Research, 2018, 1.</w:t>
            </w:r>
          </w:p>
          <w:p w14:paraId="3E03B5A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Montažstroj's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Emancipation Politics: Public Sphere between Irruption and Institution”,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Zmiana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ram.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Instytucje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po 1989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roku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Europie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Środkowej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Bałkanach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/ Changing the Framework. Institutions in Central Europe and the Balkans After 1989, University of Warsaw, Warsaw 2019.</w:t>
            </w:r>
          </w:p>
          <w:p w14:paraId="2F5D14D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“Treba li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šutjeti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odustati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od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pisanja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? Ili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apsolutističkoj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dramaturgiji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Mate Matišića”,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Pozornici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ususret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radova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čast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sedamdesetog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rođendana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Borisa Senkera, eds. Lada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Čale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Feldman and Višnja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Kačić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Rogošić, Zagreb,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Leksikografski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zavod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Miroslava Krleže,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Odsjek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komparativnu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2017.</w:t>
            </w:r>
          </w:p>
          <w:p w14:paraId="20F4A2D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“Joseph Texte, rani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komparatizam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europska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kozmopolitska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misao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Joseph Texte: Jean-Jacques Rousseau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ishodišta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kozmopolitizma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Matica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2019.</w:t>
            </w:r>
          </w:p>
          <w:p w14:paraId="6418EBA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“Queer Immanence in </w:t>
            </w:r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>Who is? Woyzeck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: Technocentric Utopia of the Master and the Slave”, Slavia Meridionalis, 2019, 19.</w:t>
            </w:r>
          </w:p>
          <w:p w14:paraId="2B161B33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lastRenderedPageBreak/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Režija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baštine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njezini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političko-metaforički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dispozitivi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nacrt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studije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Metafore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hrvatskom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jeziku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kulturi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Zbornik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radova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47.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seminara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ed. Lana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Molvarec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Tatjana Pišković,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Zagrebačka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slavistička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škola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Filozofski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fakultet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Sveučilišta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 u</w:t>
            </w:r>
            <w:proofErr w:type="gram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Zagrebu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2019.</w:t>
            </w:r>
          </w:p>
          <w:p w14:paraId="0A1E34B8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Teška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industrija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smisla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zabilješke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otvaranju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EPK 2020”,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republika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2020, 1-6.</w:t>
            </w:r>
          </w:p>
          <w:p w14:paraId="43D92B5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Narativi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opresije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pedagogija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skrbništva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Gutiérrez, Freire, Boal”,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smotra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2020, 52, 196/2.</w:t>
            </w:r>
          </w:p>
          <w:p w14:paraId="7D619BA6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>Svoj</w:t>
            </w:r>
            <w:proofErr w:type="spellEnd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 xml:space="preserve"> sin, 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>svoja</w:t>
            </w:r>
            <w:proofErr w:type="spellEnd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>majka</w:t>
            </w:r>
            <w:proofErr w:type="spellEnd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>svoj</w:t>
            </w:r>
            <w:proofErr w:type="spellEnd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>otac</w:t>
            </w:r>
            <w:proofErr w:type="spellEnd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  <w:lang w:val="en-GB"/>
              </w:rPr>
              <w:t>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bilješke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nekoliko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radikalnih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tijela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ranoj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povijesti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EUROKAZ-a,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Eurokaz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trošenje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vremena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Eurokaz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2021.</w:t>
            </w:r>
          </w:p>
          <w:p w14:paraId="249D1BBA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“Terror of Acceptance: Mass-Murders and Political Dystopia”, Cross-Cultural Studies Review, 2, 2020.</w:t>
            </w:r>
          </w:p>
          <w:p w14:paraId="3A3D821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teorija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je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praksa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metodi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kao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činjenju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perspektivi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apsolutnog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početnika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 (with Iva Nerina Sibila), Mika Hannula, Juha Suoranta, Tere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Vadén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Umjetničko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istraživanje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teorije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metode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prakse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Klinika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kreativnosti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Akademija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kulturu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Sveučilišta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J. J.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Strossmayera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Osijeku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– Grad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Đakovo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Osijek –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Đakovo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2021.</w:t>
            </w:r>
          </w:p>
          <w:p w14:paraId="64B580A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“Performance of/or Debt: The Economy’s Frank Face”, Central European Cultures, 2021, 1, 1. (reprinted in 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GB"/>
              </w:rPr>
              <w:t>Ekonomija</w:t>
            </w:r>
            <w:proofErr w:type="spellEnd"/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GB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GB"/>
              </w:rPr>
              <w:t>književnost</w:t>
            </w:r>
            <w:proofErr w:type="spellEnd"/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GB"/>
              </w:rPr>
              <w:t xml:space="preserve"> – Economy and Literature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, ed. Maša Kolanović et al., Hrvatska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sveučilišna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naklada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Zagreb 2023).</w:t>
            </w:r>
          </w:p>
          <w:p w14:paraId="22166D80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“O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matematici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straha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”, Cross Cultural Studies, 2023, 2.</w:t>
            </w:r>
          </w:p>
          <w:p w14:paraId="51739C9E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“Intersemiotic Modernism: Matija Ferlin’s </w:t>
            </w:r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GB"/>
              </w:rPr>
              <w:t xml:space="preserve">Sad Sam Lucky 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between Poetry and its Embodiment”,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Przekłady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Literatur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Słowiańskich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12, 1/22.</w:t>
            </w:r>
          </w:p>
          <w:p w14:paraId="5B4C406C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“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Poezija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njezini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izdajnički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jezici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na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sceni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: prolegomena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mogućim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suodnosima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Croatica</w:t>
            </w:r>
            <w:proofErr w:type="spellEnd"/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>, 2023, 47, 67.</w:t>
            </w:r>
          </w:p>
          <w:p w14:paraId="259697AD" w14:textId="7EF6B036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“Queering Distances and Disoriented Dancing Bodies: Matija Ferlin’s Relational Performances </w:t>
            </w:r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GB"/>
              </w:rPr>
              <w:t>Sad Sam Revisited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 and </w:t>
            </w:r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GB"/>
              </w:rPr>
              <w:t>The Other for One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GB"/>
              </w:rPr>
              <w:t xml:space="preserve">”, </w:t>
            </w:r>
            <w:r w:rsidRPr="00D94AA5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lang w:val="en-US"/>
              </w:rPr>
              <w:t>AM Journal of Art and Media Studies</w:t>
            </w: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/>
              </w:rPr>
              <w:t>, 2024, 33.</w:t>
            </w:r>
          </w:p>
        </w:tc>
      </w:tr>
      <w:tr w:rsidR="004B52F0" w:rsidRPr="00D94AA5" w14:paraId="47764655" w14:textId="1D458E48" w:rsidTr="00221AB7">
        <w:tc>
          <w:tcPr>
            <w:tcW w:w="3700" w:type="dxa"/>
          </w:tcPr>
          <w:p w14:paraId="1EFC131F" w14:textId="23B059FF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stručnih radova</w:t>
            </w:r>
          </w:p>
        </w:tc>
        <w:tc>
          <w:tcPr>
            <w:tcW w:w="5816" w:type="dxa"/>
          </w:tcPr>
          <w:p w14:paraId="1070301C" w14:textId="38177CB7" w:rsidR="004B52F0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Više od 500 enciklopedijskih i leksikonskih članaka, stotinjak književnih kritika, prikaza i recenzija i sl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</w:tc>
      </w:tr>
      <w:tr w:rsidR="004B52F0" w:rsidRPr="00D94AA5" w14:paraId="4BF4C3D6" w14:textId="3AF24E61" w:rsidTr="00221AB7">
        <w:tc>
          <w:tcPr>
            <w:tcW w:w="3700" w:type="dxa"/>
          </w:tcPr>
          <w:p w14:paraId="0D8BEC4B" w14:textId="31C2C05F" w:rsidR="00E248D0" w:rsidRPr="00D94AA5" w:rsidRDefault="00B41FF1" w:rsidP="003919E7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nagrade i priznanja u struci</w:t>
            </w:r>
          </w:p>
        </w:tc>
        <w:tc>
          <w:tcPr>
            <w:tcW w:w="5816" w:type="dxa"/>
          </w:tcPr>
          <w:p w14:paraId="76B9D76D" w14:textId="4A642DD5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Nagrada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Akademije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kulturu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Osijeku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istraživačku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djelatnost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(2021</w:t>
            </w:r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, 2024</w:t>
            </w: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  <w:p w14:paraId="528A560D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i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Nagrada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Zvane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Črnja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teorijski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esej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(2020)</w:t>
            </w:r>
          </w:p>
          <w:p w14:paraId="20140877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Splitski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književni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krug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Nagrada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Judita (2009) </w:t>
            </w:r>
          </w:p>
          <w:p w14:paraId="3B958B9B" w14:textId="77777777" w:rsidR="00D94AA5" w:rsidRPr="00D94AA5" w:rsidRDefault="00D94AA5" w:rsidP="00D94AA5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Zagrebu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Nagrada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Filozofskog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fakulteta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(2009) </w:t>
            </w:r>
          </w:p>
          <w:p w14:paraId="7CB5BF85" w14:textId="72436D70" w:rsidR="004B52F0" w:rsidRPr="00D94AA5" w:rsidRDefault="00D94AA5" w:rsidP="00496AC3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Državna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nagrada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Republike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(2008) </w:t>
            </w:r>
          </w:p>
        </w:tc>
      </w:tr>
      <w:tr w:rsidR="004B52F0" w:rsidRPr="00D94AA5" w14:paraId="3D4C5648" w14:textId="63813AD0" w:rsidTr="00221AB7">
        <w:tc>
          <w:tcPr>
            <w:tcW w:w="3700" w:type="dxa"/>
          </w:tcPr>
          <w:p w14:paraId="37DD3BCF" w14:textId="1350CA8D" w:rsidR="004B52F0" w:rsidRPr="00D94AA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rojekti</w:t>
            </w:r>
          </w:p>
        </w:tc>
        <w:tc>
          <w:tcPr>
            <w:tcW w:w="5816" w:type="dxa"/>
          </w:tcPr>
          <w:p w14:paraId="1D75D889" w14:textId="0B50CFAE" w:rsidR="00D94AA5" w:rsidRDefault="00D94AA5" w:rsidP="00D94AA5">
            <w:pPr>
              <w:contextualSpacing/>
              <w:jc w:val="both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Kulturni</w:t>
            </w:r>
            <w:proofErr w:type="spellEnd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identitet</w:t>
            </w:r>
            <w:proofErr w:type="spellEnd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2026-2030 (NVO </w:t>
            </w:r>
            <w:proofErr w:type="spellStart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projekt</w:t>
            </w:r>
            <w:proofErr w:type="spellEnd"/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  <w:p w14:paraId="3DA74E41" w14:textId="4682A80D" w:rsidR="00D94AA5" w:rsidRPr="00D94AA5" w:rsidRDefault="00D94AA5" w:rsidP="00D94AA5">
            <w:pPr>
              <w:contextualSpacing/>
              <w:jc w:val="both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Prakse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zajednice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tranziciji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umjetnost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institucije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javna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sfera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2018-2020,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financirano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strane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Josipa Jurja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Strossmayera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Osijeku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voditelj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  <w:p w14:paraId="5671EE5A" w14:textId="77777777" w:rsidR="00D94AA5" w:rsidRPr="00D94AA5" w:rsidRDefault="00D94AA5" w:rsidP="00D94AA5">
            <w:pPr>
              <w:contextualSpacing/>
              <w:jc w:val="both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Epistemološki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modeli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književne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historiografije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2013-2016,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financirana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strane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zaklade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znanost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voditelj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  <w:p w14:paraId="6BD1CB42" w14:textId="77777777" w:rsidR="00D94AA5" w:rsidRPr="00D94AA5" w:rsidRDefault="00D94AA5" w:rsidP="00D94AA5">
            <w:pPr>
              <w:contextualSpacing/>
              <w:jc w:val="both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Oneiric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kao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Poetološki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antropološki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problem, 2007-2011,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financiran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strane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Ministarstva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znanosti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Republike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viši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znanstveni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novak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  <w:p w14:paraId="6FBA342C" w14:textId="363BF950" w:rsidR="004B52F0" w:rsidRPr="00D94AA5" w:rsidRDefault="00D94AA5" w:rsidP="00A56A76">
            <w:pPr>
              <w:contextualSpacing/>
              <w:jc w:val="both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Književna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antropologija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2002-2006,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financirano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strane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Ministarstva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znanosti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Republike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Hrvatske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znanstveni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novak</w:t>
            </w:r>
            <w:proofErr w:type="spellEnd"/>
            <w:r w:rsidRPr="00D94AA5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</w:tc>
      </w:tr>
      <w:tr w:rsidR="004B52F0" w:rsidRPr="00D94AA5" w14:paraId="7B565A6E" w14:textId="55706A6D" w:rsidTr="00221AB7">
        <w:tc>
          <w:tcPr>
            <w:tcW w:w="3700" w:type="dxa"/>
          </w:tcPr>
          <w:p w14:paraId="0809CEFC" w14:textId="753EE033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članstva u strukovnim udrugama</w:t>
            </w:r>
          </w:p>
        </w:tc>
        <w:tc>
          <w:tcPr>
            <w:tcW w:w="5816" w:type="dxa"/>
          </w:tcPr>
          <w:p w14:paraId="54AFCDE9" w14:textId="2397AA97" w:rsidR="004B52F0" w:rsidRPr="00D94AA5" w:rsidRDefault="00AE46F8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HDP, CTR</w:t>
            </w:r>
          </w:p>
        </w:tc>
      </w:tr>
      <w:tr w:rsidR="004B52F0" w:rsidRPr="00D94AA5" w14:paraId="142A7F17" w14:textId="777B3636" w:rsidTr="00221AB7">
        <w:tc>
          <w:tcPr>
            <w:tcW w:w="3700" w:type="dxa"/>
          </w:tcPr>
          <w:p w14:paraId="3AD839B4" w14:textId="1C3FA5CA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popularizacijskih radova</w:t>
            </w:r>
          </w:p>
        </w:tc>
        <w:tc>
          <w:tcPr>
            <w:tcW w:w="5816" w:type="dxa"/>
          </w:tcPr>
          <w:p w14:paraId="41FDE2CF" w14:textId="77777777" w:rsidR="00AE46F8" w:rsidRPr="00AE46F8" w:rsidRDefault="00AE46F8" w:rsidP="00AE46F8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2015 – TV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emisija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Hrvatski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velikani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redatelj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Robert Knjaz</w:t>
            </w:r>
          </w:p>
          <w:p w14:paraId="43F2E901" w14:textId="77777777" w:rsidR="00AE46F8" w:rsidRPr="00AE46F8" w:rsidRDefault="00AE46F8" w:rsidP="00AE46F8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2015-2022 –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savjetnik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izvedbene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studije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Hrvatskom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narodnom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kazalištu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Zagrebačkom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kazalištu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mladih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Zagrebu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plakati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letci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promotivni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materijali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  <w:p w14:paraId="58E1A1FB" w14:textId="77777777" w:rsidR="00AE46F8" w:rsidRPr="00AE46F8" w:rsidRDefault="00AE46F8" w:rsidP="00AE46F8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2017 –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danas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organizacija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okruglih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stolova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Akademiji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umjetnost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kulturu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Sveučilište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Josipa Jurja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Strossmayera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Osijeku</w:t>
            </w:r>
            <w:proofErr w:type="spellEnd"/>
          </w:p>
          <w:p w14:paraId="630FF31F" w14:textId="77777777" w:rsidR="00AE46F8" w:rsidRPr="00AE46F8" w:rsidRDefault="00AE46F8" w:rsidP="00AE46F8">
            <w:pPr>
              <w:spacing w:before="60" w:after="60"/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GB"/>
              </w:rPr>
            </w:pPr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2023-danas -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savjetnik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izvedbene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studije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Istarskom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narodnom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kazalištu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Puli (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plakati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letci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promotivni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materijali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)</w:t>
            </w:r>
          </w:p>
          <w:p w14:paraId="4CDBBC43" w14:textId="163A88B3" w:rsidR="004B52F0" w:rsidRPr="00AE46F8" w:rsidRDefault="00AE46F8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2023-danas –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koordinator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otvorenih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predavanja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javnih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predavanja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Istarskom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narodnom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kazalištu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>i</w:t>
            </w:r>
            <w:proofErr w:type="spellEnd"/>
            <w:r w:rsidRPr="00AE46F8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  <w:lang w:val="en-US"/>
              </w:rPr>
              <w:t xml:space="preserve"> u Puli</w:t>
            </w:r>
          </w:p>
        </w:tc>
      </w:tr>
      <w:tr w:rsidR="004B52F0" w:rsidRPr="00D94AA5" w14:paraId="4F439B89" w14:textId="24D23FEA" w:rsidTr="00221AB7">
        <w:tc>
          <w:tcPr>
            <w:tcW w:w="3700" w:type="dxa"/>
          </w:tcPr>
          <w:p w14:paraId="5CA131C2" w14:textId="1D43AB4A" w:rsidR="00496AC3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životopis u slobodnoj formi</w:t>
            </w:r>
          </w:p>
          <w:p w14:paraId="7D1A5622" w14:textId="77777777" w:rsidR="004B52F0" w:rsidRPr="00D94AA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5A60E2" w14:textId="045CC89F" w:rsidR="00E248D0" w:rsidRPr="00D94AA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30EACB3A" w14:textId="7F06C514" w:rsidR="003456BC" w:rsidRPr="00AE46F8" w:rsidRDefault="00AE46F8" w:rsidP="00AE46F8">
            <w:pPr>
              <w:pStyle w:val="NormalWeb"/>
              <w:spacing w:after="150"/>
              <w:rPr>
                <w:rFonts w:ascii="Calibri" w:hAnsi="Calibri" w:cs="Calibri"/>
                <w:color w:val="333333"/>
                <w:sz w:val="20"/>
                <w:szCs w:val="20"/>
                <w:lang w:val="fr-FR"/>
              </w:rPr>
            </w:pPr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Leo Rafolt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rođen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je 1979. u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Zagrebu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gdje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je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diplomirao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komparativnu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književnost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kroatistiku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Filozofskom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fakultetu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Sveučilišta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Zagrebu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te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doktorirao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teatrologiju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izvedbene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studije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. Na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Filozofskom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fakultetu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Zagrebu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radio je do 2017, a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trenutno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predaje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izvedbene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studije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teoriju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kulture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teorijsku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dramaturgiju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kao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redoviti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professor u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trajnom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zvanju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Akademiji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umjetnost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kulturu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Sveučilišta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Josipa Jurja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Strossmayera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Osijeku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. Bio je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gostujući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profesor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mnogim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europskim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američkim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azijskim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sveučilištima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. U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nekoliko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navrata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bio je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stipendist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Francuskoj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Mađarskoj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Poljskoj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Italiji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SAD-u,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Velikoj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Britaniji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Sloveniji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Norveškoj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Finskoj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Japanu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Napisao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je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više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od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stotinu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članaka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enciklopedijska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leksikonska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izdanja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te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uredio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nekoliko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zbornika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Odbrojavanje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antologija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suvremene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hrvatske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drame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, 2007; </w:t>
            </w:r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Miljenko Majetić,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Između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Hekube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Rabbija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dramatološki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teatrološki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ini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spisi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2017;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Javna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sfera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između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teorije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medija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umjetničke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intervencije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, 2019; </w:t>
            </w:r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Joseph Texte, Jean-Jacques Rousseau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ishodišta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književnog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kozmopolitizma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, 2019; </w:t>
            </w:r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Jean-Luc, Jeener,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Kazalište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na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samrti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, 2019, </w:t>
            </w:r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Mika Hannula, Juha Suoranta, Tere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Vadén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Umjetničko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istraživanje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teorije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metode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prakse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, 2021; </w:t>
            </w:r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Dubravko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Mataković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>, 2022</w:t>
            </w:r>
            <w:r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Practicing Communities in Post-Yugoslav Theatre and Performance</w:t>
            </w:r>
            <w:r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>, 2026</w:t>
            </w:r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). </w:t>
            </w:r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Osim toga,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autor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je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niza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znanstvenih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radova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eseja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kritika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sljedećih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knjiga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Melpomenine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maske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fenomenologija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žanra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tragedije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dubrovačkom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ranonovovjekovlju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(2007),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Drugo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lice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drugosti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književnoantropološke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studije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(2009),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Priučen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na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tumačenje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deset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čitanja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(2011),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Odbačeni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predmet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između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filologije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izvedbe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(2017)</w:t>
            </w:r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Tijelo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kao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glagol: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japanski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budo,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transkulturalne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tehnike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trening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izvedbu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(2019), </w:t>
            </w:r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Virus in fabula</w:t>
            </w:r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(2021), </w:t>
            </w:r>
            <w:r w:rsidRPr="00AE46F8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lang w:val="fr-FR"/>
              </w:rPr>
              <w:t>Chorégraphie de l'éphémère</w:t>
            </w:r>
            <w:r w:rsidRPr="00AE46F8">
              <w:rPr>
                <w:rFonts w:ascii="Calibri" w:hAnsi="Calibri" w:cs="Calibri"/>
                <w:color w:val="333333"/>
                <w:sz w:val="20"/>
                <w:szCs w:val="20"/>
                <w:lang w:val="fr-FR"/>
              </w:rPr>
              <w:t xml:space="preserve"> (2021),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Preskočene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niti</w:t>
            </w:r>
            <w:proofErr w:type="spellEnd"/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(2022),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Montažstroj’s</w:t>
            </w:r>
            <w:proofErr w:type="spellEnd"/>
            <w:r w:rsidRPr="00AE46F8"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Emancipatory Performance Politics: Never Mind the Score </w:t>
            </w:r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(2022),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Tijelo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nacije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uvod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japanski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budo</w:t>
            </w:r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(2023)</w:t>
            </w:r>
            <w:r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>,</w:t>
            </w:r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</w:t>
            </w:r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M/F x Staging a/</w:t>
            </w:r>
            <w:proofErr w:type="spellStart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>nd</w:t>
            </w:r>
            <w:proofErr w:type="spellEnd"/>
            <w:r w:rsidRPr="00AE46F8">
              <w:rPr>
                <w:rFonts w:ascii="Calibri" w:hAnsi="Calibri" w:cs="Calibri"/>
                <w:bCs/>
                <w:i/>
                <w:iCs/>
                <w:color w:val="333333"/>
                <w:sz w:val="20"/>
                <w:szCs w:val="20"/>
              </w:rPr>
              <w:t xml:space="preserve"> Archive </w:t>
            </w:r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>(2023)</w:t>
            </w:r>
            <w:r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Izdužen</w:t>
            </w:r>
            <w:proofErr w:type="spellEnd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formi</w:t>
            </w:r>
            <w:proofErr w:type="spellEnd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jajeta</w:t>
            </w:r>
            <w:proofErr w:type="spellEnd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transverzalna</w:t>
            </w:r>
            <w:proofErr w:type="spellEnd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>čitanja</w:t>
            </w:r>
            <w:proofErr w:type="spellEnd"/>
            <w:r>
              <w:rPr>
                <w:rFonts w:ascii="Calibri" w:hAnsi="Calibri" w:cs="Calibri"/>
                <w:bCs/>
                <w:i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>(2026)</w:t>
            </w:r>
            <w:r w:rsidRPr="00AE46F8">
              <w:rPr>
                <w:rFonts w:ascii="Calibri" w:hAnsi="Calibri" w:cs="Calibri"/>
                <w:bCs/>
                <w:iCs/>
                <w:color w:val="333333"/>
                <w:sz w:val="20"/>
                <w:szCs w:val="20"/>
              </w:rPr>
              <w:t>.</w:t>
            </w:r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svoja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istraživanja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dobitnik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je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Državne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nagrade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znanost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(2008),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Godišnje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nagrade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Filozofskog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fakulteta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Sveučilišta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Zagrebu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(2009),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Nagrade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Judita (2009),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Nagrade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"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Zvane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Črnja" (2021)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te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Nagrade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Akademije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umjetnosti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kulture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u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Osijeku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za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istraživačku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djelatnost</w:t>
            </w:r>
            <w:proofErr w:type="spellEnd"/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 xml:space="preserve"> (2021</w:t>
            </w:r>
            <w:r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, 2023</w:t>
            </w:r>
            <w:r w:rsidRPr="00AE46F8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).</w:t>
            </w:r>
          </w:p>
        </w:tc>
      </w:tr>
      <w:tr w:rsidR="00932C8B" w:rsidRPr="00D94AA5" w14:paraId="018F7D3C" w14:textId="77777777" w:rsidTr="00221AB7">
        <w:tc>
          <w:tcPr>
            <w:tcW w:w="3700" w:type="dxa"/>
          </w:tcPr>
          <w:p w14:paraId="602CB1B6" w14:textId="76B87A64" w:rsidR="00932C8B" w:rsidRPr="00D94AA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94AA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oveznice</w:t>
            </w:r>
          </w:p>
        </w:tc>
        <w:tc>
          <w:tcPr>
            <w:tcW w:w="5816" w:type="dxa"/>
          </w:tcPr>
          <w:p w14:paraId="2DAA83D0" w14:textId="2B18A928" w:rsidR="00932C8B" w:rsidRPr="00D94AA5" w:rsidRDefault="00AE46F8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leorafolt.com</w:t>
            </w:r>
          </w:p>
        </w:tc>
      </w:tr>
    </w:tbl>
    <w:p w14:paraId="4163D2B1" w14:textId="77777777" w:rsidR="001A56D2" w:rsidRPr="00D94AA5" w:rsidRDefault="001A56D2" w:rsidP="00B41FF1"/>
    <w:sectPr w:rsidR="001A56D2" w:rsidRPr="00D94AA5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5D15" w14:textId="77777777" w:rsidR="00212637" w:rsidRDefault="00212637" w:rsidP="004B52F0">
      <w:r>
        <w:separator/>
      </w:r>
    </w:p>
  </w:endnote>
  <w:endnote w:type="continuationSeparator" w:id="0">
    <w:p w14:paraId="12E734F4" w14:textId="77777777" w:rsidR="00212637" w:rsidRDefault="00212637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5F3E" w14:textId="77777777" w:rsidR="00212637" w:rsidRDefault="00212637" w:rsidP="004B52F0">
      <w:r>
        <w:separator/>
      </w:r>
    </w:p>
  </w:footnote>
  <w:footnote w:type="continuationSeparator" w:id="0">
    <w:p w14:paraId="4F65897B" w14:textId="77777777" w:rsidR="00212637" w:rsidRDefault="00212637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CC4BC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FA2AB25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4768"/>
    <w:multiLevelType w:val="multilevel"/>
    <w:tmpl w:val="B96624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91497">
    <w:abstractNumId w:val="3"/>
  </w:num>
  <w:num w:numId="2" w16cid:durableId="1770465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834099">
    <w:abstractNumId w:val="5"/>
  </w:num>
  <w:num w:numId="4" w16cid:durableId="1901356283">
    <w:abstractNumId w:val="4"/>
  </w:num>
  <w:num w:numId="5" w16cid:durableId="1332903734">
    <w:abstractNumId w:val="8"/>
  </w:num>
  <w:num w:numId="6" w16cid:durableId="1385135597">
    <w:abstractNumId w:val="7"/>
  </w:num>
  <w:num w:numId="7" w16cid:durableId="1359426809">
    <w:abstractNumId w:val="1"/>
  </w:num>
  <w:num w:numId="8" w16cid:durableId="101191523">
    <w:abstractNumId w:val="6"/>
  </w:num>
  <w:num w:numId="9" w16cid:durableId="67634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D444A"/>
    <w:rsid w:val="00127840"/>
    <w:rsid w:val="00193760"/>
    <w:rsid w:val="001A56D2"/>
    <w:rsid w:val="001C5123"/>
    <w:rsid w:val="002045E9"/>
    <w:rsid w:val="00212637"/>
    <w:rsid w:val="00221AB7"/>
    <w:rsid w:val="002250BA"/>
    <w:rsid w:val="00236DCB"/>
    <w:rsid w:val="00272933"/>
    <w:rsid w:val="00315990"/>
    <w:rsid w:val="00317722"/>
    <w:rsid w:val="003456BC"/>
    <w:rsid w:val="00355481"/>
    <w:rsid w:val="00357099"/>
    <w:rsid w:val="003919E7"/>
    <w:rsid w:val="003F57E5"/>
    <w:rsid w:val="003F72F0"/>
    <w:rsid w:val="00496AC3"/>
    <w:rsid w:val="004B52F0"/>
    <w:rsid w:val="004E24E3"/>
    <w:rsid w:val="004E36DF"/>
    <w:rsid w:val="005A74BC"/>
    <w:rsid w:val="005C7E1F"/>
    <w:rsid w:val="00612BBA"/>
    <w:rsid w:val="00647956"/>
    <w:rsid w:val="006859A1"/>
    <w:rsid w:val="006D6FF3"/>
    <w:rsid w:val="006E6698"/>
    <w:rsid w:val="00751F1B"/>
    <w:rsid w:val="00763F9A"/>
    <w:rsid w:val="007A39B9"/>
    <w:rsid w:val="00840017"/>
    <w:rsid w:val="008D56D8"/>
    <w:rsid w:val="00917406"/>
    <w:rsid w:val="00932C8B"/>
    <w:rsid w:val="009B2D2A"/>
    <w:rsid w:val="00A002EE"/>
    <w:rsid w:val="00A0596D"/>
    <w:rsid w:val="00A2625B"/>
    <w:rsid w:val="00A56A76"/>
    <w:rsid w:val="00A666C8"/>
    <w:rsid w:val="00AA4802"/>
    <w:rsid w:val="00AE0968"/>
    <w:rsid w:val="00AE46F8"/>
    <w:rsid w:val="00B41FF1"/>
    <w:rsid w:val="00B64B59"/>
    <w:rsid w:val="00B655BD"/>
    <w:rsid w:val="00BB68B1"/>
    <w:rsid w:val="00BC58D2"/>
    <w:rsid w:val="00BE00F1"/>
    <w:rsid w:val="00BE7236"/>
    <w:rsid w:val="00CD61F9"/>
    <w:rsid w:val="00D22598"/>
    <w:rsid w:val="00D53B31"/>
    <w:rsid w:val="00D70D8F"/>
    <w:rsid w:val="00D94AA5"/>
    <w:rsid w:val="00DA4CE9"/>
    <w:rsid w:val="00DE7C95"/>
    <w:rsid w:val="00DF71C2"/>
    <w:rsid w:val="00E248D0"/>
    <w:rsid w:val="00E252E2"/>
    <w:rsid w:val="00E73E4B"/>
    <w:rsid w:val="00EE0C1A"/>
    <w:rsid w:val="00F17F09"/>
    <w:rsid w:val="00F57C2C"/>
    <w:rsid w:val="00FB1E4E"/>
    <w:rsid w:val="00FB40F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D94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afol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B993A-D09F-4B78-B62E-AD45E56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Leo Rafolt</cp:lastModifiedBy>
  <cp:revision>2</cp:revision>
  <dcterms:created xsi:type="dcterms:W3CDTF">2026-03-14T08:49:00Z</dcterms:created>
  <dcterms:modified xsi:type="dcterms:W3CDTF">2026-03-14T08:49:00Z</dcterms:modified>
</cp:coreProperties>
</file>