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AKADEMIJA ZA UMJETNOST I KULTURU U OSIJEKU</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RKP: 50215</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OBRAZLOŽENJE POSEBNOG DIJELA FINANCIJSKOG PLANA 2024.-2026. GODINE AKADEMIJE ZA UMJETNOST I KULTURU U OSIJEKU</w:t>
      </w:r>
    </w:p>
    <w:p w:rsidR="00E05F32" w:rsidRDefault="00E05F32" w:rsidP="00E05F32">
      <w:pPr>
        <w:rPr>
          <w:rFonts w:ascii="Times New Roman" w:hAnsi="Times New Roman" w:cs="Times New Roman"/>
          <w:sz w:val="24"/>
          <w:szCs w:val="24"/>
        </w:rPr>
      </w:pPr>
    </w:p>
    <w:p w:rsidR="00E05F32" w:rsidRDefault="00E05F32" w:rsidP="00E05F32">
      <w:pPr>
        <w:shd w:val="clear" w:color="auto" w:fill="FFE599" w:themeFill="accent4" w:themeFillTint="66"/>
        <w:rPr>
          <w:rFonts w:ascii="Times New Roman" w:hAnsi="Times New Roman" w:cs="Times New Roman"/>
          <w:sz w:val="24"/>
          <w:szCs w:val="24"/>
        </w:rPr>
      </w:pPr>
      <w:r>
        <w:rPr>
          <w:rFonts w:ascii="Times New Roman" w:hAnsi="Times New Roman" w:cs="Times New Roman"/>
          <w:sz w:val="24"/>
          <w:szCs w:val="24"/>
          <w:shd w:val="clear" w:color="auto" w:fill="FFE599" w:themeFill="accent4" w:themeFillTint="66"/>
        </w:rPr>
        <w:t>Sažetak djelokruga rada Akademije za umjetnost i kultur</w:t>
      </w:r>
      <w:r>
        <w:rPr>
          <w:rFonts w:ascii="Times New Roman" w:hAnsi="Times New Roman" w:cs="Times New Roman"/>
          <w:sz w:val="24"/>
          <w:szCs w:val="24"/>
          <w:shd w:val="clear" w:color="auto" w:fill="E2EFD9" w:themeFill="accent6" w:themeFillTint="33"/>
        </w:rPr>
        <w:t>u</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Akademija je ustanova te umjetničko-nastavna i znanstveno-nastavna sastavnica Sveučilišta koja ustrojava i izvodi sveučilišne studije te razvija umjetnički, znanstveni i stručni rad u jednom ili više umjetničkih, znanstvenih i stručnih polja odnosno interdisciplinarnom području znanosti i umjetnosti.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Puni naziv Akademije glasi: Sveučilište Josipa Jurja Strossmayera u Osijeku, Akademija za umjetnost i kulturu u Osijeku.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Skraćeni naziv Akademije glasi: Sveučilište u Osijeku, Akademija za umjetnost i kulturu u Osijeku.</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Sjedište Akademije je u Osijeku, Kralja Petra Svačića 1/f</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Djelatnost Akademije jest:</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visoko obrazovanje;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ustrojavanje i izvođenje preddiplomskih sveučilišnih studija, diplomskih sveučilišnih studija poslijediplomskih studija: poslijediplomskih sveučilišnih i poslijediplomskih specijalističkih studija, interdisciplinarnih studija te stručnih studija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razvoj vrhunskog umjetničkog stvaralaštva kroz različite umjetničke sadržaje i projekte te proizvodnja i javno prikazivanje umjetničkih ostvarenja u umjetničkim poljima u području umjetnosti, kao i u interdisciplinarnom umjetničkom području</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istraživanje u interdisciplinarnim područjima znanosti te u znanstvenim područjima društvenih i humanističkih znanosti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obavljanje znanstvenog i visokostručnog rada uz uvjete utvrđene posebnim propisima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organiziranje i izvođenje programa cjeloživotnog učenja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izdavačka, knjižnična i informatička djelatnost za potrebe nastave, znanstvenog, umjetničkog i stručnog rada.</w:t>
      </w:r>
    </w:p>
    <w:p w:rsidR="00E05F32" w:rsidRDefault="00E05F32" w:rsidP="00E05F32">
      <w:pPr>
        <w:ind w:firstLine="360"/>
        <w:jc w:val="both"/>
        <w:rPr>
          <w:rFonts w:ascii="Times New Roman" w:hAnsi="Times New Roman" w:cs="Times New Roman"/>
          <w:sz w:val="24"/>
          <w:szCs w:val="24"/>
        </w:rPr>
      </w:pPr>
      <w:r>
        <w:rPr>
          <w:rFonts w:ascii="Times New Roman" w:hAnsi="Times New Roman" w:cs="Times New Roman"/>
          <w:sz w:val="24"/>
          <w:szCs w:val="24"/>
        </w:rPr>
        <w:t xml:space="preserve">Akademija za umjetnost i kulturu u Osijeku jedina je umjetničko-nastavna i znanstveno-nastavna sastavnica Sveučilišta Josipa Jurja Strossmayera u Osijeku. Dopusnicu Ministarstva </w:t>
      </w:r>
      <w:r>
        <w:rPr>
          <w:rFonts w:ascii="Times New Roman" w:hAnsi="Times New Roman" w:cs="Times New Roman"/>
          <w:sz w:val="24"/>
          <w:szCs w:val="24"/>
        </w:rPr>
        <w:lastRenderedPageBreak/>
        <w:t xml:space="preserve">znanosti i obrazovanja Republike Hrvatske za obavljanje djelatnosti visokog obrazovanja dobila je 3. srpnja 2018. godine. Nastala je spajanjem Umjetničke akademije u Osijeku i Odjela za kulturologiju u sastavu Sveučilišta Josipa Jurja Strossmayera u Osijeku i pravna je sljedbenica obiju institucija. Akademiju za umjetnost i kulturu čini šest odsjeka: Odsjek za glazbenu umjetnost, Odsjek za instrumentalne studije, Odsjek za kazališnu umjetnost, Odsjek za kreativne tehnologije, Odsjek za kulturu, medije i menadžment te Odsjek za vizualne i medijske umjetnosti. </w:t>
      </w:r>
    </w:p>
    <w:p w:rsidR="00E05F32" w:rsidRDefault="00E05F32" w:rsidP="00E05F32">
      <w:pPr>
        <w:ind w:firstLine="360"/>
        <w:jc w:val="both"/>
        <w:rPr>
          <w:rFonts w:ascii="Times New Roman" w:hAnsi="Times New Roman" w:cs="Times New Roman"/>
          <w:sz w:val="24"/>
          <w:szCs w:val="24"/>
        </w:rPr>
      </w:pPr>
      <w:r>
        <w:rPr>
          <w:rFonts w:ascii="Times New Roman" w:hAnsi="Times New Roman" w:cs="Times New Roman"/>
          <w:sz w:val="24"/>
          <w:szCs w:val="24"/>
        </w:rPr>
        <w:t xml:space="preserve">Na Akademiji se izvode sveučilišni preddiplomski, diplomski i poslijediplomski umjetnički i znanstveni studiji iz umjetničkoga, društvenoga, humanističkoga te interdisciplinarnoga područja znanosti i umjetnosti te se razvija vrhunsko umjetničko stvaralaštvo i znanstveno-istraživački rad, što ju čini institucijom širokih svjetonazora, otvorenom za najrazličitije profile studenata koji u njoj mogu prepoznati mjesto za stjecanje umjetničkih i znanstvenih kompetencija potrebnih za život i rad u suvremenom društvu. Realiziraju se studijski programi iz područja glazbene pedagogije, pjevanja, kompozicije i teorije glazbe, instrumentalnih studija, likovne kulture, ilustracije, glume, lutkarske animacije, dizajna za kazalište, film i televiziju, kostimografije, scenografije i </w:t>
      </w:r>
      <w:r>
        <w:rPr>
          <w:rFonts w:ascii="Times New Roman" w:hAnsi="Times New Roman" w:cs="Times New Roman"/>
          <w:color w:val="000000" w:themeColor="text1"/>
          <w:sz w:val="24"/>
          <w:szCs w:val="24"/>
        </w:rPr>
        <w:t xml:space="preserve">lutke za kazalište, film i multimediju, </w:t>
      </w:r>
      <w:r>
        <w:rPr>
          <w:rFonts w:ascii="Times New Roman" w:hAnsi="Times New Roman" w:cs="Times New Roman"/>
          <w:sz w:val="24"/>
          <w:szCs w:val="24"/>
        </w:rPr>
        <w:t>lutkarske režije i neverbalnog teatra te znanstveni studiji iz područja kulture, medija i menadžmenta, medija i odnosa s javnošću te menadžmenta u kulturi i kreativnim industrijama. Akademija je u suradnji s Medicinskim fakultetom u Osijeku pokrenula i prvi Poslijediplomski specijalistički studij kreativne terapije u Republici Hrvatskoj sa smjerovima art (likovne) terapije, dramaterapije, muzikoterapije i terapije pokretom i plesom.</w:t>
      </w:r>
    </w:p>
    <w:p w:rsidR="00E05F32" w:rsidRDefault="00E05F32" w:rsidP="00E05F32">
      <w:pPr>
        <w:ind w:firstLine="360"/>
        <w:jc w:val="both"/>
        <w:rPr>
          <w:rFonts w:ascii="Times New Roman" w:hAnsi="Times New Roman" w:cs="Times New Roman"/>
          <w:sz w:val="24"/>
          <w:szCs w:val="24"/>
        </w:rPr>
      </w:pPr>
      <w:r>
        <w:rPr>
          <w:rFonts w:ascii="Times New Roman" w:hAnsi="Times New Roman" w:cs="Times New Roman"/>
          <w:sz w:val="24"/>
          <w:szCs w:val="24"/>
        </w:rPr>
        <w:t>Studijski programi organiziraju se kao redoviti i izvanredni, kako za državljane Republike Hrvatske, tako i za strane studente. Nastava se odvija kroz predavanja, mentorsku poduku, seminare, vježbe, različite oblike terenske nastave, projektnu nastavu i stručnu praksu te kroz sudjelovanje u realizaciji umjetničkih i znanstvenih projekata, ponajviše u suradnji s javnim institucijama, znanstvenim, kulturnim i umjetničkim organizacijama, kako u regiji tako i u cijeloj Republici Hrvatskoj. Velik dio nastave se, dakle, ostvaruje u suradnji s kulturnim institucijama, umjetnicima i stručnjacima iz prakse te se, na taj način, premješta izvan učionica kako bi studenti u izravnom susretu s raznorodnim umjetničkim i kulturnim djelatnostima stekli kompetencije i vještine iz područja odabranog studijskog programa, a koje su neophodne za njihovo aktivno i kvalitetno sudjelovanje na tržištu rada.</w:t>
      </w:r>
    </w:p>
    <w:p w:rsidR="00E05F32" w:rsidRDefault="00E05F32" w:rsidP="00E05F32">
      <w:pPr>
        <w:jc w:val="both"/>
        <w:rPr>
          <w:rFonts w:ascii="Times New Roman" w:hAnsi="Times New Roman" w:cs="Times New Roman"/>
          <w:sz w:val="24"/>
          <w:szCs w:val="24"/>
        </w:rPr>
      </w:pPr>
      <w:r>
        <w:rPr>
          <w:rFonts w:ascii="Times New Roman" w:hAnsi="Times New Roman" w:cs="Times New Roman"/>
          <w:sz w:val="24"/>
          <w:szCs w:val="24"/>
        </w:rPr>
        <w:t xml:space="preserve">Akademija učinkovito i svrsishodno upravlja financijskim sredstvima, bilo da je riječ o sredstvima doznačenim iz državnog proračuna, sredstvima iz lokalnih proračuna, sredstvima koje ostvari iz vlastite djelatnosti ili po posebnim propisima (školarine studenata). Financijska održivost je vidljiva iz financijskih izvještaja Akademije za umjetnost i kulturu, gdje su prihodi i rashodi gotovo u ravnoteži iako je u izvješćima iskazan manjak prihoda nad rashodima koji knjigovodstveno nastaje korekcijom rezultata, tj. prelamanjem manjkova iz prethodnih godina. Budući da je Akademija za umjetnost i kulturu nastala spajanjem Umjetničke akademije u Osijeku i Odjela za kulturologiju Sveučilišta J. J. Strossmayera u Osijeku, što je dovelo do povećanog broja studenata i zaposlenih djelatnika, u 2018. i 2019. godini nužno je bilo prilagoditi postojeće prostore kako bi se osiguralo kvalitetno održavanje nastave. Pored toga nužna je bila i nabava opreme što je vidljivo iz povećanih rashoda za  nefinancijsku imovinu koji će biti specifični samo za ovaj početni period, prije svega u dijelu koji se odnosi na dodatna ulaganja na građevinskim objektima </w:t>
      </w:r>
      <w:r>
        <w:rPr>
          <w:rFonts w:ascii="Times New Roman" w:hAnsi="Times New Roman" w:cs="Times New Roman"/>
          <w:sz w:val="24"/>
          <w:szCs w:val="24"/>
        </w:rPr>
        <w:lastRenderedPageBreak/>
        <w:t>i postrojenjima i opremi. Izostanak troškova za dodatna ulaganja u budućem periodu dovest će do potpune uravnoteženosti prihoda i rashoda.</w:t>
      </w:r>
    </w:p>
    <w:p w:rsidR="00E05F32" w:rsidRDefault="00E05F32" w:rsidP="00E05F32">
      <w:pPr>
        <w:jc w:val="both"/>
        <w:rPr>
          <w:rFonts w:ascii="Times New Roman" w:hAnsi="Times New Roman" w:cs="Times New Roman"/>
          <w:sz w:val="24"/>
          <w:szCs w:val="24"/>
        </w:rPr>
      </w:pPr>
      <w:r>
        <w:rPr>
          <w:rFonts w:ascii="Times New Roman" w:hAnsi="Times New Roman" w:cs="Times New Roman"/>
          <w:sz w:val="24"/>
          <w:szCs w:val="24"/>
        </w:rPr>
        <w:t xml:space="preserve">S obzirom na specifične oblike nastave koja se uglavnom izvodi individualno pa time iziskuje i veće rashode za opremu (glazbeni instrumenti, štafelaji, kiparska oprema, glumački rekviziti i sl.) nabava opreme je predviđena i za buduća razdoblja ali u manjem obimu. Za odvijanje individualne nastave potrebna je i velika kvadratura prostora koja istovremeno iziskuje velike režijske troškove. </w:t>
      </w:r>
    </w:p>
    <w:p w:rsidR="00E05F32" w:rsidRDefault="00E05F32" w:rsidP="00E05F32">
      <w:pPr>
        <w:jc w:val="both"/>
        <w:rPr>
          <w:rFonts w:ascii="Cambria" w:hAnsi="Cambria"/>
        </w:rPr>
      </w:pPr>
    </w:p>
    <w:p w:rsidR="00E05F32" w:rsidRDefault="00E05F32" w:rsidP="00E05F32">
      <w:pPr>
        <w:jc w:val="both"/>
        <w:rPr>
          <w:rFonts w:ascii="Times New Roman" w:hAnsi="Times New Roman" w:cs="Times New Roman"/>
          <w:sz w:val="24"/>
          <w:szCs w:val="24"/>
        </w:rPr>
      </w:pPr>
      <w:r>
        <w:rPr>
          <w:rFonts w:ascii="Times New Roman" w:hAnsi="Times New Roman" w:cs="Times New Roman"/>
          <w:sz w:val="24"/>
          <w:szCs w:val="24"/>
        </w:rPr>
        <w:t xml:space="preserve">Osim prihoda iz proračuna kojima se financiraju plaće i rashodi za zaposlene, Akademija  temeljem programskih ugovora, prihoda za znanstvenu djelatnost i prihoda za redovite troškove poslovanja ostvaruje prihode koji su jednim dijelom dostatni za održavanje nastave i redovito poslovanje. Sukladno Zakonu o znanstvenoj djelatnosti i Statutu Akademije za umjetnost i kulturu Akademija na tržištu ostvaruje prihode od umjetničkih projekata koji su prepoznati na nivou grada, županije Osječko-baranjske i Ministarstva kulture što čini dodatni prihod poslovanja. Značajan udio u prihodima čine i školarine studenata, te prihodi od poslijediplomskog specijalističkog studija. Stoga je u budućoj perspektivi nužno razvijati nove programe koji će imati tržišnu orijentaciju što će pozitivno utjecati na priljev prihoda. Sudjelovanje u EU projektima i u financijskom smislu je od velikog značaja za Akademiju i njene djelatnike koji najvećim dijelom sudjeluju u Erasmus i Erasmus KA2 programima. </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shd w:val="clear" w:color="auto" w:fill="FFE599" w:themeFill="accent4" w:themeFillTint="66"/>
        <w:rPr>
          <w:rFonts w:ascii="Times New Roman" w:hAnsi="Times New Roman" w:cs="Times New Roman"/>
          <w:sz w:val="24"/>
          <w:szCs w:val="24"/>
        </w:rPr>
      </w:pPr>
      <w:r>
        <w:rPr>
          <w:rFonts w:ascii="Times New Roman" w:hAnsi="Times New Roman" w:cs="Times New Roman"/>
          <w:sz w:val="24"/>
          <w:szCs w:val="24"/>
        </w:rPr>
        <w:t>Zakonske i druge pravne osnove:</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-Zakon o znanstvenoj djelatnosti</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Temeljni akt Akademije  je Statut kojeg donosi Vijeće Akademije na prijedlog dekana.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Opće akte Akademije donosi Vijeće i dekan u okviru svojih nadležnosti.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Vijeće Akademije donosi: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Statut na prijedlog dekana uz suglasnost Senata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Statut Studentskog zbora, na prijedlog Studentskog zbora Akademije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završnim i diplomskim ispitima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organizaciji sustava kvalitete visokog obrazovanja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demonstraturi i demonstratorima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radu knjižnice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izdavačkoj djelatnosti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nagradama i priznanjima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Poslovnik Vijeća Akademije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Dekan donosi: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ustrojstvu radnih mjesta Akademije na prijedlog Vijeća Akademije i uz suglasnost Senata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radu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plaćama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zaštiti na radu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zaštiti od požara </w:t>
      </w:r>
      <w:r>
        <w:rPr>
          <w:rFonts w:ascii="Times New Roman" w:hAnsi="Times New Roman" w:cs="Times New Roman"/>
          <w:sz w:val="24"/>
          <w:szCs w:val="24"/>
        </w:rPr>
        <w:sym w:font="Symbol" w:char="F0B7"/>
      </w:r>
      <w:r>
        <w:rPr>
          <w:rFonts w:ascii="Times New Roman" w:hAnsi="Times New Roman" w:cs="Times New Roman"/>
          <w:sz w:val="24"/>
          <w:szCs w:val="24"/>
        </w:rPr>
        <w:t xml:space="preserve"> Pravilnik o arhiviranju (5) Dekan donosi i druge opće akte u okviru svoje nadležnosti.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FINANCIJSKI PLAN 2024.-2026.</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1036"/>
        <w:gridCol w:w="1936"/>
        <w:gridCol w:w="1290"/>
        <w:gridCol w:w="1262"/>
        <w:gridCol w:w="1275"/>
        <w:gridCol w:w="1134"/>
        <w:gridCol w:w="1129"/>
      </w:tblGrid>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080</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MINISTARSTVO ZNANOSTI I OBRAZOVANJA</w:t>
            </w:r>
          </w:p>
        </w:tc>
        <w:tc>
          <w:tcPr>
            <w:tcW w:w="129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E05F32" w:rsidRDefault="00E05F32">
            <w:pPr>
              <w:spacing w:line="240" w:lineRule="auto"/>
              <w:rPr>
                <w:rFonts w:ascii="Times New Roman" w:hAnsi="Times New Roman" w:cs="Times New Roman"/>
              </w:rPr>
            </w:pPr>
            <w:r>
              <w:rPr>
                <w:rFonts w:ascii="Times New Roman" w:hAnsi="Times New Roman" w:cs="Times New Roman"/>
              </w:rPr>
              <w:t>Izvršenje 2022.</w:t>
            </w:r>
          </w:p>
        </w:tc>
        <w:tc>
          <w:tcPr>
            <w:tcW w:w="126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E05F32" w:rsidRDefault="00E05F32">
            <w:pPr>
              <w:spacing w:line="240" w:lineRule="auto"/>
              <w:rPr>
                <w:rFonts w:ascii="Times New Roman" w:hAnsi="Times New Roman" w:cs="Times New Roman"/>
              </w:rPr>
            </w:pPr>
            <w:r>
              <w:rPr>
                <w:rFonts w:ascii="Times New Roman" w:hAnsi="Times New Roman" w:cs="Times New Roman"/>
              </w:rPr>
              <w:t>Plan 2023.</w:t>
            </w:r>
          </w:p>
        </w:tc>
        <w:tc>
          <w:tcPr>
            <w:tcW w:w="127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E05F32" w:rsidRDefault="00E05F32">
            <w:pPr>
              <w:spacing w:line="240" w:lineRule="auto"/>
              <w:rPr>
                <w:rFonts w:ascii="Times New Roman" w:hAnsi="Times New Roman" w:cs="Times New Roman"/>
              </w:rPr>
            </w:pPr>
            <w:r>
              <w:rPr>
                <w:rFonts w:ascii="Times New Roman" w:hAnsi="Times New Roman" w:cs="Times New Roman"/>
              </w:rPr>
              <w:t>Plan za 2024.</w:t>
            </w:r>
          </w:p>
        </w:tc>
        <w:tc>
          <w:tcPr>
            <w:tcW w:w="113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E05F32" w:rsidRDefault="00E05F32">
            <w:pPr>
              <w:spacing w:line="240" w:lineRule="auto"/>
              <w:rPr>
                <w:rFonts w:ascii="Times New Roman" w:hAnsi="Times New Roman" w:cs="Times New Roman"/>
              </w:rPr>
            </w:pPr>
            <w:r>
              <w:rPr>
                <w:rFonts w:ascii="Times New Roman" w:hAnsi="Times New Roman" w:cs="Times New Roman"/>
              </w:rPr>
              <w:t>Plan za 2025.</w:t>
            </w:r>
          </w:p>
        </w:tc>
        <w:tc>
          <w:tcPr>
            <w:tcW w:w="112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E05F32" w:rsidRDefault="00E05F32">
            <w:pPr>
              <w:spacing w:line="240" w:lineRule="auto"/>
              <w:rPr>
                <w:rFonts w:ascii="Times New Roman" w:hAnsi="Times New Roman" w:cs="Times New Roman"/>
              </w:rPr>
            </w:pPr>
            <w:r>
              <w:rPr>
                <w:rFonts w:ascii="Times New Roman" w:hAnsi="Times New Roman" w:cs="Times New Roman"/>
              </w:rPr>
              <w:t>Plan za 2026.</w:t>
            </w: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 xml:space="preserve">Ukupni rezultat </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b/>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b/>
              </w:rPr>
            </w:pPr>
            <w:r>
              <w:rPr>
                <w:rFonts w:ascii="Times New Roman" w:hAnsi="Times New Roman" w:cs="Times New Roman"/>
                <w:b/>
              </w:rPr>
              <w:t>5.810.452</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b/>
              </w:rPr>
            </w:pPr>
            <w:r>
              <w:rPr>
                <w:rFonts w:ascii="Times New Roman" w:hAnsi="Times New Roman" w:cs="Times New Roman"/>
                <w:b/>
              </w:rPr>
              <w:t>5.860.909</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b/>
              </w:rPr>
            </w:pPr>
            <w:r>
              <w:rPr>
                <w:rFonts w:ascii="Times New Roman" w:hAnsi="Times New Roman" w:cs="Times New Roman"/>
                <w:b/>
              </w:rPr>
              <w:t>5.829.187</w:t>
            </w: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9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highlight w:val="yellow"/>
              </w:rPr>
            </w:pPr>
            <w:r>
              <w:rPr>
                <w:rFonts w:ascii="Times New Roman" w:hAnsi="Times New Roman" w:cs="Times New Roman"/>
                <w:highlight w:val="yellow"/>
              </w:rPr>
              <w:t>11</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b/>
                <w:highlight w:val="yellow"/>
              </w:rPr>
            </w:pPr>
            <w:r>
              <w:rPr>
                <w:rFonts w:ascii="Times New Roman" w:hAnsi="Times New Roman" w:cs="Times New Roman"/>
                <w:b/>
                <w:highlight w:val="yellow"/>
              </w:rPr>
              <w:t>Opći prihodi i primici</w:t>
            </w:r>
          </w:p>
        </w:tc>
        <w:tc>
          <w:tcPr>
            <w:tcW w:w="1290"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highlight w:val="yellow"/>
              </w:rPr>
            </w:pPr>
            <w:r>
              <w:rPr>
                <w:rFonts w:ascii="Times New Roman" w:hAnsi="Times New Roman" w:cs="Times New Roman"/>
                <w:b/>
                <w:highlight w:val="yellow"/>
              </w:rPr>
              <w:t>4.771.255</w:t>
            </w: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highlight w:val="yellow"/>
              </w:rPr>
            </w:pPr>
            <w:r>
              <w:rPr>
                <w:rFonts w:ascii="Times New Roman" w:hAnsi="Times New Roman" w:cs="Times New Roman"/>
                <w:b/>
                <w:highlight w:val="yellow"/>
              </w:rPr>
              <w:t>5.441.198</w:t>
            </w:r>
          </w:p>
        </w:tc>
        <w:tc>
          <w:tcPr>
            <w:tcW w:w="1275"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highlight w:val="yellow"/>
              </w:rPr>
            </w:pPr>
            <w:r>
              <w:rPr>
                <w:rFonts w:ascii="Times New Roman" w:hAnsi="Times New Roman" w:cs="Times New Roman"/>
                <w:b/>
                <w:highlight w:val="yellow"/>
              </w:rPr>
              <w:t>5.415.165</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highlight w:val="yellow"/>
              </w:rPr>
            </w:pPr>
            <w:r>
              <w:rPr>
                <w:rFonts w:ascii="Times New Roman" w:hAnsi="Times New Roman" w:cs="Times New Roman"/>
                <w:b/>
                <w:highlight w:val="yellow"/>
              </w:rPr>
              <w:t>5.430.719</w:t>
            </w:r>
          </w:p>
        </w:tc>
        <w:tc>
          <w:tcPr>
            <w:tcW w:w="1129"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highlight w:val="yellow"/>
              </w:rPr>
            </w:pPr>
            <w:r>
              <w:rPr>
                <w:rFonts w:ascii="Times New Roman" w:hAnsi="Times New Roman" w:cs="Times New Roman"/>
                <w:b/>
                <w:highlight w:val="yellow"/>
              </w:rPr>
              <w:t>5.433.975</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highlight w:val="yellow"/>
              </w:rPr>
              <w:t>A621003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b/>
              </w:rPr>
            </w:pPr>
            <w:r>
              <w:rPr>
                <w:rFonts w:ascii="Times New Roman" w:hAnsi="Times New Roman" w:cs="Times New Roman"/>
                <w:b/>
              </w:rPr>
              <w:t>Redovna djelatnost Sveučilišta u Osijeku</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11</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Opći prihodi i primici</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rPr>
            </w:pPr>
            <w:r>
              <w:rPr>
                <w:rFonts w:ascii="Times New Roman" w:hAnsi="Times New Roman" w:cs="Times New Roman"/>
              </w:rPr>
              <w:t>Rashodi poslovanja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4.245.889</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4.993.349</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4.995.342</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5.010.573</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5.013.503</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72.855</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97.226</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66.154</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66.477</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66.803</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37</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Naknade građanima i kućanstvima</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2.364</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highlight w:val="yellow"/>
              </w:rPr>
              <w:t>A621038</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b/>
                <w:sz w:val="20"/>
                <w:szCs w:val="20"/>
              </w:rPr>
            </w:pPr>
            <w:r>
              <w:rPr>
                <w:rFonts w:ascii="Times New Roman" w:hAnsi="Times New Roman" w:cs="Times New Roman"/>
                <w:b/>
                <w:sz w:val="20"/>
                <w:szCs w:val="20"/>
              </w:rPr>
              <w:t>Programi vježbaonica visokih učilišta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1.548</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1.152</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2.896</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2.896</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2.896</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highlight w:val="yellow"/>
              </w:rPr>
              <w:t>A62212</w:t>
            </w:r>
            <w:r>
              <w:rPr>
                <w:rFonts w:ascii="Times New Roman" w:hAnsi="Times New Roman" w:cs="Times New Roman"/>
                <w:sz w:val="20"/>
                <w:szCs w:val="20"/>
              </w:rPr>
              <w:t>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b/>
                <w:sz w:val="20"/>
                <w:szCs w:val="20"/>
              </w:rPr>
            </w:pPr>
            <w:r>
              <w:rPr>
                <w:rFonts w:ascii="Times New Roman" w:hAnsi="Times New Roman" w:cs="Times New Roman"/>
                <w:b/>
                <w:sz w:val="20"/>
                <w:szCs w:val="20"/>
              </w:rPr>
              <w:t>Programsko financiranje javnih visokih učilišta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0942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Drugi stupanj visoke naobrazbe</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r>
      <w:tr w:rsidR="00E05F32" w:rsidTr="00E05F32">
        <w:trPr>
          <w:trHeight w:val="384"/>
        </w:trPr>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386.615</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238.728</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350.773</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350.773</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350.773</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34</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37</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 xml:space="preserve">Naknade građanima </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nabavu proizv.dug.imovine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21.070</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110.743</w:t>
            </w: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45</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Dodatna ulaganja na građ.objektima</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40.914</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A679090</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Redovna djelatnost Sveučilišta u Osijeku</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51</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Pomoći EU</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21.541</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34.940</w:t>
            </w:r>
          </w:p>
        </w:tc>
        <w:tc>
          <w:tcPr>
            <w:tcW w:w="1129"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18.581</w:t>
            </w: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34.940</w:t>
            </w: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nabavu proizv.dug.imovine</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2.960</w:t>
            </w: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Vlastiti prihodi</w:t>
            </w:r>
          </w:p>
        </w:tc>
        <w:tc>
          <w:tcPr>
            <w:tcW w:w="1290"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19.163</w:t>
            </w: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26.545</w:t>
            </w:r>
          </w:p>
        </w:tc>
        <w:tc>
          <w:tcPr>
            <w:tcW w:w="1275"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35.529</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35.529</w:t>
            </w:r>
          </w:p>
        </w:tc>
        <w:tc>
          <w:tcPr>
            <w:tcW w:w="1129"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35.529</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7.882</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4.911</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16.000</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18.665</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18.665</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11.281</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5.309</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7.500</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7.500</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7.500</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34</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nabavu proizv.dug.imovine</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9.364</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9.364</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9.364</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54</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Otplata glavnice primljenih kredita</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16.325</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2.665</w:t>
            </w: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43</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Ostali prihodi za posebne namjene</w:t>
            </w:r>
          </w:p>
        </w:tc>
        <w:tc>
          <w:tcPr>
            <w:tcW w:w="1290"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375.415</w:t>
            </w: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318.535</w:t>
            </w:r>
          </w:p>
        </w:tc>
        <w:tc>
          <w:tcPr>
            <w:tcW w:w="1275"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358.258</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358.221</w:t>
            </w:r>
          </w:p>
        </w:tc>
        <w:tc>
          <w:tcPr>
            <w:tcW w:w="1129"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358.183</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56.503</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30.333</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30.333</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30.333</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285.810</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229.611</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276.357</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276.320</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276.282</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34</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2.173</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2.068</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2.068</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2.068</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nabavu proizv.dug.imovine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30.929</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88.924</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19.500</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19.500</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19.500</w:t>
            </w: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54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Dodatna ulaganja na građ.objektima</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30.000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30.000</w:t>
            </w: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52</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Ostale pomoći</w:t>
            </w:r>
          </w:p>
        </w:tc>
        <w:tc>
          <w:tcPr>
            <w:tcW w:w="1290"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195.751</w:t>
            </w: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13.272</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31</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15.927</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165.618</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34</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2.129</w:t>
            </w: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42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Rashodi za nabavu proizv.dug.imovine</w:t>
            </w:r>
          </w:p>
        </w:tc>
        <w:tc>
          <w:tcPr>
            <w:tcW w:w="1290"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12.077</w:t>
            </w: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13.272</w:t>
            </w: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61</w:t>
            </w:r>
          </w:p>
        </w:tc>
        <w:tc>
          <w:tcPr>
            <w:tcW w:w="1936"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Donacije</w:t>
            </w:r>
          </w:p>
        </w:tc>
        <w:tc>
          <w:tcPr>
            <w:tcW w:w="1290" w:type="dxa"/>
            <w:tcBorders>
              <w:top w:val="single" w:sz="4" w:space="0" w:color="auto"/>
              <w:left w:val="single" w:sz="4" w:space="0" w:color="auto"/>
              <w:bottom w:val="single" w:sz="4" w:space="0" w:color="auto"/>
              <w:right w:val="single" w:sz="4" w:space="0" w:color="auto"/>
            </w:tcBorders>
            <w:shd w:val="clear" w:color="auto" w:fill="FFFF00"/>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5.972</w:t>
            </w:r>
          </w:p>
        </w:tc>
        <w:tc>
          <w:tcPr>
            <w:tcW w:w="1275"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1.500</w:t>
            </w:r>
          </w:p>
        </w:tc>
        <w:tc>
          <w:tcPr>
            <w:tcW w:w="1129" w:type="dxa"/>
            <w:tcBorders>
              <w:top w:val="single" w:sz="4" w:space="0" w:color="auto"/>
              <w:left w:val="single" w:sz="4" w:space="0" w:color="auto"/>
              <w:bottom w:val="single" w:sz="4" w:space="0" w:color="auto"/>
              <w:right w:val="single" w:sz="4" w:space="0" w:color="auto"/>
            </w:tcBorders>
            <w:shd w:val="clear" w:color="auto" w:fill="FFFF00"/>
            <w:hideMark/>
          </w:tcPr>
          <w:p w:rsidR="00E05F32" w:rsidRDefault="00E05F32">
            <w:pPr>
              <w:spacing w:line="240" w:lineRule="auto"/>
              <w:jc w:val="right"/>
              <w:rPr>
                <w:rFonts w:ascii="Times New Roman" w:hAnsi="Times New Roman" w:cs="Times New Roman"/>
                <w:b/>
                <w:sz w:val="20"/>
                <w:szCs w:val="20"/>
              </w:rPr>
            </w:pPr>
            <w:r>
              <w:rPr>
                <w:rFonts w:ascii="Times New Roman" w:hAnsi="Times New Roman" w:cs="Times New Roman"/>
                <w:b/>
                <w:sz w:val="20"/>
                <w:szCs w:val="20"/>
              </w:rPr>
              <w:t>1.500</w:t>
            </w:r>
          </w:p>
        </w:tc>
      </w:tr>
      <w:tr w:rsidR="00E05F32" w:rsidTr="00E05F32">
        <w:tc>
          <w:tcPr>
            <w:tcW w:w="10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32</w:t>
            </w:r>
          </w:p>
        </w:tc>
        <w:tc>
          <w:tcPr>
            <w:tcW w:w="19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5.972</w:t>
            </w:r>
          </w:p>
        </w:tc>
        <w:tc>
          <w:tcPr>
            <w:tcW w:w="127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1.500</w:t>
            </w:r>
          </w:p>
        </w:tc>
        <w:tc>
          <w:tcPr>
            <w:tcW w:w="1129"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0"/>
                <w:szCs w:val="20"/>
              </w:rPr>
            </w:pPr>
            <w:r>
              <w:rPr>
                <w:rFonts w:ascii="Times New Roman" w:hAnsi="Times New Roman" w:cs="Times New Roman"/>
                <w:sz w:val="20"/>
                <w:szCs w:val="20"/>
              </w:rPr>
              <w:t>1.500</w:t>
            </w: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r w:rsidR="00E05F32" w:rsidTr="00E05F32">
        <w:tc>
          <w:tcPr>
            <w:tcW w:w="10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93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62"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0"/>
                <w:szCs w:val="20"/>
              </w:rPr>
            </w:pP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A621003 REDOVNA DJELATNOST SVEUČILIŠTA U OSIJEKU</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2265"/>
        <w:gridCol w:w="2265"/>
        <w:gridCol w:w="2266"/>
        <w:gridCol w:w="2266"/>
      </w:tblGrid>
      <w:tr w:rsidR="00E05F32" w:rsidTr="00E05F32">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 xml:space="preserve">A621003 REDOVNA DJELATNOST </w:t>
            </w:r>
            <w:r>
              <w:rPr>
                <w:rFonts w:ascii="Times New Roman" w:hAnsi="Times New Roman" w:cs="Times New Roman"/>
                <w:sz w:val="24"/>
                <w:szCs w:val="24"/>
              </w:rPr>
              <w:lastRenderedPageBreak/>
              <w:t>SVEUČILIŠTA U OSIJEKU</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b/>
                <w:highlight w:val="yellow"/>
              </w:rPr>
              <w:lastRenderedPageBreak/>
              <w:t>5.415.165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b/>
                <w:highlight w:val="yellow"/>
              </w:rPr>
              <w:t>5.430.719</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b/>
                <w:highlight w:val="yellow"/>
              </w:rPr>
              <w:t>5.433.975</w:t>
            </w: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Ova aktivnost sastoji se od slijedećih elemenata (plan 2024.):</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Rashodi za zaposlene (konto 31)  4.995.342,00 eura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Materijalni rashodi (konto 32 prijevoz djelatnika) 51.868,00 eura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Materijalni rashodi (konto 32 zdr.usluge, pristojbe i naknade) 14.286,00 eura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Izračun financijskog plana – sukladno zadanim limitima od strane Ministarstva znanosti/Sveučilište) za 2024., 2025. i 2026. godinu</w:t>
      </w:r>
    </w:p>
    <w:p w:rsidR="00E05F32" w:rsidRDefault="00E05F32" w:rsidP="00E05F32">
      <w:pPr>
        <w:ind w:left="360"/>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A621038 PROGRAMI VJEŽBAONICA VISOKIH UČILIŠTA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Zakonske i druge pravne osnove:</w:t>
      </w:r>
    </w:p>
    <w:p w:rsidR="00E05F32" w:rsidRDefault="00E05F32" w:rsidP="00E05F3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E05F32" w:rsidRDefault="00E05F32" w:rsidP="00E05F3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E05F32" w:rsidRDefault="00E05F32" w:rsidP="00E05F3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Izvedbeni nastavni planovi i programi</w:t>
      </w:r>
    </w:p>
    <w:p w:rsidR="00E05F32" w:rsidRDefault="00E05F32" w:rsidP="00E05F32">
      <w:pPr>
        <w:ind w:left="360"/>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360" w:type="dxa"/>
        <w:tblLook w:val="04A0" w:firstRow="1" w:lastRow="0" w:firstColumn="1" w:lastColumn="0" w:noHBand="0" w:noVBand="1"/>
      </w:tblPr>
      <w:tblGrid>
        <w:gridCol w:w="2259"/>
        <w:gridCol w:w="2243"/>
        <w:gridCol w:w="2244"/>
        <w:gridCol w:w="2244"/>
      </w:tblGrid>
      <w:tr w:rsidR="00E05F32" w:rsidTr="00E05F32">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A621038 PROGRAMI VJEŽBAONICA VISOKIH UČILIŠTA</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2.896</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2.896</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2.896</w:t>
            </w:r>
          </w:p>
        </w:tc>
      </w:tr>
    </w:tbl>
    <w:p w:rsidR="00E05F32" w:rsidRDefault="00E05F32" w:rsidP="00E05F32">
      <w:pPr>
        <w:ind w:left="360"/>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Ova aktivnost se provodi svake godine te je sukladno tome i napravljen plan.</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A622122 PROGRAMSKO FINANCIRRANJE JAVNIH VISOKIH UČILIŠTA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Opći prihodi i primici   </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Zakonske i druge pravne osnove:</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Odluka o programskom financiranju javnih visokih učilišta u Republici Hrvatskoj u ak.god. 2018./19., 2019./20., 2020./21., 2021./22 i 2022./23.</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Ugovor o programskom financiranju Sveučilišta J.J. Strossmayera u Osijeku u ak. god. 2018./19., 2019./20., 2020./21., 2021./22. i 2022./23.</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Pravilnik o sadržaju dopusnice te uvjetima za izdavanje dopusnice za obavljanje djelatnosti visokog obrazovanja, izvođenja studijskih programa i reakreditacije visokih učilišta</w:t>
      </w:r>
    </w:p>
    <w:p w:rsidR="00E05F32" w:rsidRDefault="00E05F32" w:rsidP="00E05F32">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Strategija razvoja Akademije 2023.-2030.</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2265"/>
        <w:gridCol w:w="2265"/>
        <w:gridCol w:w="2266"/>
        <w:gridCol w:w="2266"/>
      </w:tblGrid>
      <w:tr w:rsidR="00E05F32" w:rsidTr="00E05F32">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A622122 programsko financiranje javnih visokih učilišta</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350.773</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350.773</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350.773</w:t>
            </w:r>
          </w:p>
        </w:tc>
      </w:tr>
    </w:tbl>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Aktivnost se odnosi na slijedeće rashode:</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Materijalni rashodi (konto 32)   350.773,00 eura</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A679090 REDOVNA DJELATNOST SVEUČLIŠTA U OSIJEKU</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Ostali prihodi za posebne namjene, vlastiti prihodi, donacije, pomoći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Zakonske i druge pravne osnove:</w:t>
      </w:r>
    </w:p>
    <w:p w:rsidR="00E05F32" w:rsidRDefault="00E05F32" w:rsidP="00E05F3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Zakon o znanstvenoj djelatnosti</w:t>
      </w:r>
    </w:p>
    <w:p w:rsidR="00E05F32" w:rsidRDefault="00E05F32" w:rsidP="00E05F3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Kolektivni ugovor za znanost i visoko obrazovanje</w:t>
      </w:r>
    </w:p>
    <w:p w:rsidR="00E05F32" w:rsidRDefault="00E05F32" w:rsidP="00E05F3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Pravilnik o vlastitim prihodima</w:t>
      </w:r>
    </w:p>
    <w:p w:rsidR="00E05F32" w:rsidRDefault="00E05F32" w:rsidP="00E05F32">
      <w:pPr>
        <w:rPr>
          <w:rFonts w:ascii="Times New Roman" w:hAnsi="Times New Roman" w:cs="Times New Roman"/>
          <w:sz w:val="24"/>
          <w:szCs w:val="24"/>
        </w:rPr>
      </w:pPr>
    </w:p>
    <w:tbl>
      <w:tblPr>
        <w:tblStyle w:val="Reetkatablice"/>
        <w:tblW w:w="0" w:type="auto"/>
        <w:tblInd w:w="0" w:type="dxa"/>
        <w:tblLook w:val="04A0" w:firstRow="1" w:lastRow="0" w:firstColumn="1" w:lastColumn="0" w:noHBand="0" w:noVBand="1"/>
      </w:tblPr>
      <w:tblGrid>
        <w:gridCol w:w="2265"/>
        <w:gridCol w:w="2265"/>
        <w:gridCol w:w="2266"/>
        <w:gridCol w:w="2266"/>
      </w:tblGrid>
      <w:tr w:rsidR="00E05F32" w:rsidTr="00E05F32">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A679090 REDOVNA DJELATNOST SVEUČILIŠTA U OSIJEKU</w:t>
            </w:r>
          </w:p>
        </w:tc>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Ostali prihodi za posebne namjene</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358.258</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358.221</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358.183</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Vlastiti prihodi</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35.529</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35.529</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35.529</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Donacije</w:t>
            </w: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1.500</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1.500</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1.500</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Pomoći EU</w:t>
            </w:r>
          </w:p>
        </w:tc>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highlight w:val="yellow"/>
              </w:rPr>
            </w:pP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34.940</w:t>
            </w: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jc w:val="right"/>
              <w:rPr>
                <w:rFonts w:ascii="Times New Roman" w:hAnsi="Times New Roman" w:cs="Times New Roman"/>
                <w:sz w:val="24"/>
                <w:szCs w:val="24"/>
                <w:highlight w:val="yellow"/>
              </w:rPr>
            </w:pP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lastRenderedPageBreak/>
        <w:t>Ova aktivnost se provodi svake godine.</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U financijskom planu nismo imali planiranja na 639 budući da nemamo odluke o budućim doznakama na taj konto.</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U razdoblju 2024.-2026. očekuje se ostvarenje ciljeva sukladno razvojnoj strategiji Akademije.</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EU PROJEKTI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U financijskom planu 2024.-2026. godine planira se provedba EU projekta NEWAVES – Collaborative Alliance for Radio Recovery and Boost of Community News Media in Low-density Territories u trajanju od 09. lipnja 2023. do 08. lipnja 2025. godine. U 2023. godini primili smo 70% sredstava (81.527,15 eura) od ukupnog iznosa (116.467,36 eura), dok preostalih 30% očekujemo u 2025. godini.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2265"/>
        <w:gridCol w:w="2265"/>
        <w:gridCol w:w="2266"/>
        <w:gridCol w:w="2266"/>
      </w:tblGrid>
      <w:tr w:rsidR="00E05F32" w:rsidTr="00E05F32">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 xml:space="preserve"> Plan 2026.</w:t>
            </w: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Novi podprojekt</w:t>
            </w:r>
          </w:p>
        </w:tc>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r>
      <w:tr w:rsidR="00E05F32" w:rsidTr="00E05F32">
        <w:tc>
          <w:tcPr>
            <w:tcW w:w="2265"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EU projekt- NEWAVES</w:t>
            </w:r>
          </w:p>
        </w:tc>
        <w:tc>
          <w:tcPr>
            <w:tcW w:w="2265"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highlight w:val="yellow"/>
              </w:rPr>
              <w:t>34.940</w:t>
            </w:r>
          </w:p>
        </w:tc>
        <w:tc>
          <w:tcPr>
            <w:tcW w:w="2266" w:type="dxa"/>
            <w:tcBorders>
              <w:top w:val="single" w:sz="4" w:space="0" w:color="auto"/>
              <w:left w:val="single" w:sz="4" w:space="0" w:color="auto"/>
              <w:bottom w:val="single" w:sz="4" w:space="0" w:color="auto"/>
              <w:right w:val="single" w:sz="4" w:space="0" w:color="auto"/>
            </w:tcBorders>
          </w:tcPr>
          <w:p w:rsidR="00E05F32" w:rsidRDefault="00E05F32">
            <w:pPr>
              <w:spacing w:line="240" w:lineRule="auto"/>
              <w:rPr>
                <w:rFonts w:ascii="Times New Roman" w:hAnsi="Times New Roman" w:cs="Times New Roman"/>
                <w:sz w:val="24"/>
                <w:szCs w:val="24"/>
              </w:rPr>
            </w:pP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Uplatitelj sredstava je Instituto Politecnico da Guarda.</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b/>
          <w:sz w:val="24"/>
          <w:szCs w:val="24"/>
        </w:rPr>
      </w:pPr>
      <w:r>
        <w:rPr>
          <w:rFonts w:ascii="Times New Roman" w:hAnsi="Times New Roman" w:cs="Times New Roman"/>
          <w:b/>
          <w:sz w:val="24"/>
          <w:szCs w:val="24"/>
        </w:rPr>
        <w:t>31 RASHODI ZA ZAPOSLENE</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1812"/>
        <w:gridCol w:w="2578"/>
        <w:gridCol w:w="1701"/>
        <w:gridCol w:w="1417"/>
        <w:gridCol w:w="1554"/>
      </w:tblGrid>
      <w:tr w:rsidR="00E05F32" w:rsidTr="00E05F32">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Konto</w:t>
            </w:r>
          </w:p>
        </w:tc>
        <w:tc>
          <w:tcPr>
            <w:tcW w:w="257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Naziv</w:t>
            </w:r>
          </w:p>
        </w:tc>
        <w:tc>
          <w:tcPr>
            <w:tcW w:w="1701"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1417"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155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31   Izvor 11</w:t>
            </w:r>
          </w:p>
        </w:tc>
        <w:tc>
          <w:tcPr>
            <w:tcW w:w="257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4.995.342</w:t>
            </w:r>
          </w:p>
        </w:tc>
        <w:tc>
          <w:tcPr>
            <w:tcW w:w="1417"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5.010.573</w:t>
            </w:r>
          </w:p>
        </w:tc>
        <w:tc>
          <w:tcPr>
            <w:tcW w:w="155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5.013.503</w:t>
            </w:r>
          </w:p>
        </w:tc>
      </w:tr>
      <w:tr w:rsidR="00E05F32" w:rsidTr="00E05F32">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31   Izvor 31</w:t>
            </w:r>
          </w:p>
        </w:tc>
        <w:tc>
          <w:tcPr>
            <w:tcW w:w="257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16.000</w:t>
            </w:r>
          </w:p>
        </w:tc>
        <w:tc>
          <w:tcPr>
            <w:tcW w:w="1417"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18.665</w:t>
            </w:r>
          </w:p>
        </w:tc>
        <w:tc>
          <w:tcPr>
            <w:tcW w:w="155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18.665</w:t>
            </w:r>
          </w:p>
        </w:tc>
      </w:tr>
      <w:tr w:rsidR="00E05F32" w:rsidTr="00E05F32">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31   Izvor 43</w:t>
            </w:r>
          </w:p>
        </w:tc>
        <w:tc>
          <w:tcPr>
            <w:tcW w:w="257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30.333</w:t>
            </w:r>
          </w:p>
        </w:tc>
        <w:tc>
          <w:tcPr>
            <w:tcW w:w="1417"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30.333</w:t>
            </w:r>
          </w:p>
        </w:tc>
        <w:tc>
          <w:tcPr>
            <w:tcW w:w="1554"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30.333</w:t>
            </w: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Na kontima skupine 31 planirani su troškovi plaća i naknada djelatnicima sukladno zadanim limitima Ministarstva znanosti kao i troškovi iz vlastitih prihoda i ostalih prihoda za posebne namjene.</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Na ovom kontu nisu planirani troškovi plaća i naknada iz izvora 51 Pomoći budući da nemamo odluke ni rješenja o budućim prihodima iz navedenog izvora te ne možemo planirati ni rashode.</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b/>
          <w:sz w:val="24"/>
          <w:szCs w:val="24"/>
        </w:rPr>
      </w:pPr>
      <w:r>
        <w:rPr>
          <w:rFonts w:ascii="Times New Roman" w:hAnsi="Times New Roman" w:cs="Times New Roman"/>
          <w:b/>
          <w:sz w:val="24"/>
          <w:szCs w:val="24"/>
        </w:rPr>
        <w:lastRenderedPageBreak/>
        <w:t>32 MATERIJALNI RASHODI</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988"/>
        <w:gridCol w:w="2636"/>
        <w:gridCol w:w="1812"/>
        <w:gridCol w:w="1813"/>
        <w:gridCol w:w="1813"/>
      </w:tblGrid>
      <w:tr w:rsidR="00E05F32" w:rsidTr="00E05F32">
        <w:tc>
          <w:tcPr>
            <w:tcW w:w="98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Konto</w:t>
            </w:r>
          </w:p>
        </w:tc>
        <w:tc>
          <w:tcPr>
            <w:tcW w:w="26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Naziv</w:t>
            </w:r>
          </w:p>
        </w:tc>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 xml:space="preserve">Plan 2025. </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98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32</w:t>
            </w:r>
          </w:p>
        </w:tc>
        <w:tc>
          <w:tcPr>
            <w:tcW w:w="26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Materijalni rashodi</w:t>
            </w:r>
          </w:p>
        </w:tc>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705.180</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740.406</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705.754</w:t>
            </w:r>
          </w:p>
        </w:tc>
      </w:tr>
    </w:tbl>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Na kontima skupine 32 planirani su materijalni rashodi u skladu sa očekivanim prihodima iz državnog proračuna, vlastitim prihodima, školarinama studenata i sl.</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b/>
          <w:sz w:val="24"/>
          <w:szCs w:val="24"/>
        </w:rPr>
      </w:pPr>
      <w:r>
        <w:rPr>
          <w:rFonts w:ascii="Times New Roman" w:hAnsi="Times New Roman" w:cs="Times New Roman"/>
          <w:b/>
          <w:sz w:val="24"/>
          <w:szCs w:val="24"/>
        </w:rPr>
        <w:t>42 RASHODI ZA NABAVU PROIZVEDENE DUGOTRAJNE IMOVINE</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0" w:type="dxa"/>
        <w:tblLook w:val="04A0" w:firstRow="1" w:lastRow="0" w:firstColumn="1" w:lastColumn="0" w:noHBand="0" w:noVBand="1"/>
      </w:tblPr>
      <w:tblGrid>
        <w:gridCol w:w="988"/>
        <w:gridCol w:w="2636"/>
        <w:gridCol w:w="1812"/>
        <w:gridCol w:w="1813"/>
        <w:gridCol w:w="1813"/>
      </w:tblGrid>
      <w:tr w:rsidR="00E05F32" w:rsidTr="00E05F32">
        <w:tc>
          <w:tcPr>
            <w:tcW w:w="98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Konto</w:t>
            </w:r>
          </w:p>
        </w:tc>
        <w:tc>
          <w:tcPr>
            <w:tcW w:w="26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Naziv</w:t>
            </w:r>
          </w:p>
        </w:tc>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2024.</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2025.</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Plan 2026.</w:t>
            </w:r>
          </w:p>
        </w:tc>
      </w:tr>
      <w:tr w:rsidR="00E05F32" w:rsidTr="00E05F32">
        <w:tc>
          <w:tcPr>
            <w:tcW w:w="988"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42</w:t>
            </w:r>
          </w:p>
        </w:tc>
        <w:tc>
          <w:tcPr>
            <w:tcW w:w="2636"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rPr>
                <w:rFonts w:ascii="Times New Roman" w:hAnsi="Times New Roman" w:cs="Times New Roman"/>
                <w:sz w:val="24"/>
                <w:szCs w:val="24"/>
              </w:rPr>
            </w:pPr>
            <w:r>
              <w:rPr>
                <w:rFonts w:ascii="Times New Roman" w:hAnsi="Times New Roman" w:cs="Times New Roman"/>
                <w:sz w:val="24"/>
                <w:szCs w:val="24"/>
              </w:rPr>
              <w:t>Rashodi za nabavu dugotrajne imovine</w:t>
            </w:r>
          </w:p>
        </w:tc>
        <w:tc>
          <w:tcPr>
            <w:tcW w:w="1812"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28.864</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28.864</w:t>
            </w:r>
          </w:p>
        </w:tc>
        <w:tc>
          <w:tcPr>
            <w:tcW w:w="1813" w:type="dxa"/>
            <w:tcBorders>
              <w:top w:val="single" w:sz="4" w:space="0" w:color="auto"/>
              <w:left w:val="single" w:sz="4" w:space="0" w:color="auto"/>
              <w:bottom w:val="single" w:sz="4" w:space="0" w:color="auto"/>
              <w:right w:val="single" w:sz="4" w:space="0" w:color="auto"/>
            </w:tcBorders>
            <w:hideMark/>
          </w:tcPr>
          <w:p w:rsidR="00E05F32" w:rsidRDefault="00E05F32">
            <w:pPr>
              <w:spacing w:line="240" w:lineRule="auto"/>
              <w:jc w:val="right"/>
              <w:rPr>
                <w:rFonts w:ascii="Times New Roman" w:hAnsi="Times New Roman" w:cs="Times New Roman"/>
                <w:sz w:val="24"/>
                <w:szCs w:val="24"/>
              </w:rPr>
            </w:pPr>
            <w:r>
              <w:rPr>
                <w:rFonts w:ascii="Times New Roman" w:hAnsi="Times New Roman" w:cs="Times New Roman"/>
                <w:sz w:val="24"/>
                <w:szCs w:val="24"/>
              </w:rPr>
              <w:t>28.864</w:t>
            </w:r>
          </w:p>
        </w:tc>
      </w:tr>
    </w:tbl>
    <w:p w:rsidR="00E05F32" w:rsidRDefault="00E05F32" w:rsidP="00E05F32">
      <w:pPr>
        <w:rPr>
          <w:rFonts w:ascii="Times New Roman" w:hAnsi="Times New Roman" w:cs="Times New Roman"/>
          <w:sz w:val="24"/>
          <w:szCs w:val="24"/>
        </w:rPr>
      </w:pPr>
    </w:p>
    <w:p w:rsidR="00E05F32" w:rsidRDefault="00E05F32" w:rsidP="00E05F32">
      <w:pPr>
        <w:jc w:val="both"/>
        <w:rPr>
          <w:rFonts w:ascii="Times New Roman" w:hAnsi="Times New Roman" w:cs="Times New Roman"/>
          <w:sz w:val="24"/>
          <w:szCs w:val="24"/>
        </w:rPr>
      </w:pPr>
      <w:r>
        <w:rPr>
          <w:rFonts w:ascii="Times New Roman" w:hAnsi="Times New Roman" w:cs="Times New Roman"/>
          <w:sz w:val="24"/>
          <w:szCs w:val="24"/>
        </w:rPr>
        <w:t>Planirana sredstva za period 2024.-2026. godine, u okviru zadanih smjernica i na temelju procjene, trebala bi biti dostatna za pokriće rashoda u istom periodu te se u okviru istih planira ostvarenje ciljeva Strategije razvoja Akademije za umjetnost i kulturu u Osijeku 2023.-2030.</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w:t>
      </w: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DEKANICA:</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E05F32" w:rsidRDefault="00E05F32" w:rsidP="00E05F32">
      <w:pPr>
        <w:rPr>
          <w:rFonts w:ascii="Times New Roman" w:hAnsi="Times New Roman" w:cs="Times New Roman"/>
          <w:sz w:val="24"/>
          <w:szCs w:val="24"/>
        </w:rPr>
      </w:pPr>
      <w:r>
        <w:rPr>
          <w:rFonts w:ascii="Times New Roman" w:hAnsi="Times New Roman" w:cs="Times New Roman"/>
          <w:sz w:val="24"/>
          <w:szCs w:val="24"/>
        </w:rPr>
        <w:t xml:space="preserve">                                                                                            Prof.dr.sc. Helena Sablić Tomić</w:t>
      </w:r>
    </w:p>
    <w:p w:rsidR="00C174AA" w:rsidRDefault="00C174AA">
      <w:bookmarkStart w:id="0" w:name="_GoBack"/>
      <w:bookmarkEnd w:id="0"/>
    </w:p>
    <w:sectPr w:rsidR="00C174AA" w:rsidSect="00DF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7F89"/>
    <w:multiLevelType w:val="hybridMultilevel"/>
    <w:tmpl w:val="F7446CCA"/>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68D212BA"/>
    <w:multiLevelType w:val="hybridMultilevel"/>
    <w:tmpl w:val="D1B492A6"/>
    <w:lvl w:ilvl="0" w:tplc="84B227F2">
      <w:start w:val="5"/>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791903F1"/>
    <w:multiLevelType w:val="hybridMultilevel"/>
    <w:tmpl w:val="569E7992"/>
    <w:lvl w:ilvl="0" w:tplc="0409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32"/>
    <w:rsid w:val="00C174AA"/>
    <w:rsid w:val="00DF4633"/>
    <w:rsid w:val="00E05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454C5-ACD5-4BEC-A7AF-AFB8FE6E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F32"/>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05F32"/>
    <w:pPr>
      <w:ind w:left="720"/>
      <w:contextualSpacing/>
    </w:pPr>
  </w:style>
  <w:style w:type="table" w:styleId="Reetkatablice">
    <w:name w:val="Table Grid"/>
    <w:basedOn w:val="Obinatablica"/>
    <w:uiPriority w:val="39"/>
    <w:rsid w:val="00E05F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6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14203</Characters>
  <Application>Microsoft Office Word</Application>
  <DocSecurity>0</DocSecurity>
  <Lines>118</Lines>
  <Paragraphs>33</Paragraphs>
  <ScaleCrop>false</ScaleCrop>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2023-12-11T14:14:00Z</dcterms:created>
  <dcterms:modified xsi:type="dcterms:W3CDTF">2023-12-11T14:15:00Z</dcterms:modified>
</cp:coreProperties>
</file>