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Akademija za umjetnost i kulturu u Osijeku</w:t>
      </w:r>
    </w:p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</w:p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</w:p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</w:p>
    <w:p w:rsidR="00C174AA" w:rsidRDefault="00BE55BC">
      <w:pPr>
        <w:rPr>
          <w:rFonts w:ascii="Times New Roman" w:hAnsi="Times New Roman" w:cs="Times New Roman"/>
          <w:sz w:val="24"/>
          <w:szCs w:val="24"/>
        </w:rPr>
      </w:pPr>
      <w:r w:rsidRPr="00BE55BC">
        <w:rPr>
          <w:rFonts w:ascii="Times New Roman" w:hAnsi="Times New Roman" w:cs="Times New Roman"/>
          <w:sz w:val="24"/>
          <w:szCs w:val="24"/>
        </w:rPr>
        <w:t>IZVJEŠTAJ O STANJU POTRAŽIVANJA I  DOSPJELIH OBVEZA</w:t>
      </w:r>
    </w:p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</w:p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Potraživanja na dan 31.12.2023. godine iznose: 193.499,49 eura</w:t>
      </w:r>
      <w:bookmarkStart w:id="0" w:name="_GoBack"/>
      <w:bookmarkEnd w:id="0"/>
    </w:p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</w:p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Dospjele obveze na dan 31.12.203. iznose: 366.384,81 eura</w:t>
      </w:r>
    </w:p>
    <w:p w:rsidR="00BE55BC" w:rsidRDefault="00BE55BC">
      <w:pPr>
        <w:rPr>
          <w:rFonts w:ascii="Times New Roman" w:hAnsi="Times New Roman" w:cs="Times New Roman"/>
          <w:sz w:val="24"/>
          <w:szCs w:val="24"/>
        </w:rPr>
      </w:pPr>
    </w:p>
    <w:p w:rsidR="00BE55BC" w:rsidRPr="00BE55BC" w:rsidRDefault="00BE55BC">
      <w:pPr>
        <w:rPr>
          <w:rFonts w:ascii="Times New Roman" w:hAnsi="Times New Roman" w:cs="Times New Roman"/>
          <w:sz w:val="24"/>
          <w:szCs w:val="24"/>
        </w:rPr>
      </w:pPr>
    </w:p>
    <w:sectPr w:rsidR="00BE55BC" w:rsidRPr="00BE55BC" w:rsidSect="00DF4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BC"/>
    <w:rsid w:val="00BE55BC"/>
    <w:rsid w:val="00C174AA"/>
    <w:rsid w:val="00D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49AA"/>
  <w15:chartTrackingRefBased/>
  <w15:docId w15:val="{82660436-3838-411C-9609-B7F7F54F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2024-03-28T09:02:00Z</dcterms:created>
  <dcterms:modified xsi:type="dcterms:W3CDTF">2024-03-28T09:06:00Z</dcterms:modified>
</cp:coreProperties>
</file>