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16BE" w14:textId="417F37B3" w:rsidR="009F3851" w:rsidRDefault="009F3851" w:rsidP="009F3851">
      <w:pPr>
        <w:rPr>
          <w:lang w:val="hr-HR"/>
        </w:rPr>
      </w:pPr>
    </w:p>
    <w:p w14:paraId="4888B2A8" w14:textId="3F3AAEB3" w:rsidR="001604D5" w:rsidRDefault="001604D5" w:rsidP="009F3851">
      <w:pPr>
        <w:rPr>
          <w:lang w:val="hr-HR"/>
        </w:rPr>
      </w:pPr>
    </w:p>
    <w:p w14:paraId="494CD06F" w14:textId="22E51023" w:rsidR="001604D5" w:rsidRDefault="001604D5" w:rsidP="009F3851">
      <w:pPr>
        <w:rPr>
          <w:lang w:val="hr-HR"/>
        </w:rPr>
      </w:pPr>
    </w:p>
    <w:p w14:paraId="48A8D213" w14:textId="0F90080F" w:rsidR="001604D5" w:rsidRDefault="001604D5" w:rsidP="009F3851">
      <w:pPr>
        <w:rPr>
          <w:lang w:val="hr-HR"/>
        </w:rPr>
      </w:pPr>
    </w:p>
    <w:p w14:paraId="2391E32B" w14:textId="2EC4B98C" w:rsidR="001604D5" w:rsidRDefault="001604D5" w:rsidP="009F3851">
      <w:pPr>
        <w:rPr>
          <w:lang w:val="hr-HR"/>
        </w:rPr>
      </w:pPr>
    </w:p>
    <w:p w14:paraId="4C0EE9EE" w14:textId="73312088" w:rsidR="001604D5" w:rsidRDefault="001604D5" w:rsidP="009F3851">
      <w:pPr>
        <w:rPr>
          <w:lang w:val="hr-HR"/>
        </w:rPr>
      </w:pPr>
    </w:p>
    <w:p w14:paraId="3EB9EFC7" w14:textId="7E306E32" w:rsidR="001604D5" w:rsidRDefault="001604D5" w:rsidP="009F3851">
      <w:pPr>
        <w:rPr>
          <w:lang w:val="hr-HR"/>
        </w:rPr>
      </w:pPr>
    </w:p>
    <w:p w14:paraId="23006A41" w14:textId="61F8FD47" w:rsidR="001604D5" w:rsidRDefault="001604D5" w:rsidP="009F3851">
      <w:pPr>
        <w:rPr>
          <w:lang w:val="hr-HR"/>
        </w:rPr>
      </w:pPr>
    </w:p>
    <w:p w14:paraId="28197971" w14:textId="6C87A81D" w:rsidR="001604D5" w:rsidRDefault="001604D5" w:rsidP="009F3851">
      <w:pPr>
        <w:rPr>
          <w:lang w:val="hr-HR"/>
        </w:rPr>
      </w:pPr>
    </w:p>
    <w:p w14:paraId="2B4953A0" w14:textId="3719FAF7" w:rsidR="001604D5" w:rsidRDefault="001604D5" w:rsidP="009F3851">
      <w:pPr>
        <w:rPr>
          <w:lang w:val="hr-HR"/>
        </w:rPr>
      </w:pPr>
    </w:p>
    <w:p w14:paraId="7ABDA766" w14:textId="58CBF3CE" w:rsidR="001604D5" w:rsidRDefault="001604D5" w:rsidP="009F3851">
      <w:pPr>
        <w:rPr>
          <w:lang w:val="hr-HR"/>
        </w:rPr>
      </w:pPr>
    </w:p>
    <w:p w14:paraId="23551A80" w14:textId="12E67339" w:rsidR="001604D5" w:rsidRDefault="001604D5" w:rsidP="009F3851">
      <w:pPr>
        <w:rPr>
          <w:lang w:val="hr-HR"/>
        </w:rPr>
      </w:pPr>
    </w:p>
    <w:p w14:paraId="2DDF1991" w14:textId="77777777" w:rsidR="001604D5" w:rsidRDefault="001604D5" w:rsidP="009F3851">
      <w:pPr>
        <w:rPr>
          <w:lang w:val="hr-HR"/>
        </w:rPr>
      </w:pPr>
    </w:p>
    <w:p w14:paraId="6E738EA0" w14:textId="62336FA8" w:rsidR="001604D5" w:rsidRDefault="001604D5" w:rsidP="009F3851">
      <w:pPr>
        <w:rPr>
          <w:lang w:val="hr-HR"/>
        </w:rPr>
      </w:pPr>
    </w:p>
    <w:p w14:paraId="6A4F70A5" w14:textId="04A16A5F" w:rsidR="001604D5" w:rsidRDefault="001604D5" w:rsidP="009F3851">
      <w:pPr>
        <w:rPr>
          <w:lang w:val="hr-HR"/>
        </w:rPr>
      </w:pPr>
    </w:p>
    <w:p w14:paraId="3F7A7EBA" w14:textId="595C7298" w:rsidR="001604D5" w:rsidRDefault="001604D5" w:rsidP="009F3851">
      <w:pPr>
        <w:rPr>
          <w:lang w:val="hr-HR"/>
        </w:rPr>
      </w:pPr>
    </w:p>
    <w:p w14:paraId="4AA526EE" w14:textId="1D1AA967" w:rsidR="001604D5" w:rsidRPr="001604D5" w:rsidRDefault="001604D5" w:rsidP="001604D5">
      <w:pPr>
        <w:jc w:val="center"/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>OBRAZLOŽENJE UZ IZVRŠENJE FINANCIJSKOG PLANA ZA RAZDOBLJE OD 01.01.2023. DO 31.12.2023. GODINE</w:t>
      </w:r>
    </w:p>
    <w:p w14:paraId="3455665E" w14:textId="3F319757" w:rsidR="009F3851" w:rsidRPr="001604D5" w:rsidRDefault="001604D5" w:rsidP="001604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DIO -</w:t>
      </w:r>
    </w:p>
    <w:p w14:paraId="4B44FAD7" w14:textId="77777777" w:rsidR="009F3851" w:rsidRDefault="009F3851" w:rsidP="009F3851">
      <w:pPr>
        <w:rPr>
          <w:lang w:val="hr-HR"/>
        </w:rPr>
      </w:pPr>
    </w:p>
    <w:p w14:paraId="3057EA04" w14:textId="77777777" w:rsidR="009F3851" w:rsidRDefault="009F3851" w:rsidP="009F3851">
      <w:pPr>
        <w:rPr>
          <w:lang w:val="hr-HR"/>
        </w:rPr>
      </w:pPr>
    </w:p>
    <w:p w14:paraId="37B9621D" w14:textId="00EA533A" w:rsidR="009F3851" w:rsidRDefault="009F3851" w:rsidP="009F3851">
      <w:pPr>
        <w:rPr>
          <w:lang w:val="hr-HR"/>
        </w:rPr>
      </w:pPr>
    </w:p>
    <w:p w14:paraId="5DF5B106" w14:textId="77777777" w:rsidR="009F3851" w:rsidRDefault="009F3851" w:rsidP="009F3851">
      <w:pPr>
        <w:rPr>
          <w:lang w:val="hr-HR"/>
        </w:rPr>
      </w:pPr>
    </w:p>
    <w:p w14:paraId="35951FC0" w14:textId="77777777" w:rsidR="009F3851" w:rsidRDefault="009F3851" w:rsidP="009F3851">
      <w:pPr>
        <w:rPr>
          <w:lang w:val="hr-HR"/>
        </w:rPr>
      </w:pPr>
    </w:p>
    <w:p w14:paraId="34EFEA28" w14:textId="77777777" w:rsidR="009F3851" w:rsidRDefault="009F3851" w:rsidP="009F3851">
      <w:pPr>
        <w:rPr>
          <w:lang w:val="hr-HR"/>
        </w:rPr>
      </w:pPr>
    </w:p>
    <w:p w14:paraId="72F6DF76" w14:textId="77777777" w:rsidR="009F3851" w:rsidRDefault="009F3851" w:rsidP="009F3851">
      <w:pPr>
        <w:rPr>
          <w:lang w:val="hr-HR"/>
        </w:rPr>
      </w:pPr>
    </w:p>
    <w:p w14:paraId="03E7B765" w14:textId="77777777" w:rsidR="009F3851" w:rsidRDefault="009F3851" w:rsidP="009F3851">
      <w:pPr>
        <w:rPr>
          <w:lang w:val="hr-HR"/>
        </w:rPr>
      </w:pPr>
    </w:p>
    <w:p w14:paraId="6B73452D" w14:textId="77777777" w:rsidR="009F3851" w:rsidRDefault="009F3851" w:rsidP="009F3851">
      <w:pPr>
        <w:rPr>
          <w:lang w:val="hr-HR"/>
        </w:rPr>
      </w:pPr>
    </w:p>
    <w:p w14:paraId="4031C4FC" w14:textId="77777777" w:rsidR="009F3851" w:rsidRDefault="009F3851" w:rsidP="009F3851">
      <w:pPr>
        <w:rPr>
          <w:lang w:val="hr-HR"/>
        </w:rPr>
      </w:pPr>
    </w:p>
    <w:p w14:paraId="505ED847" w14:textId="77777777" w:rsidR="009F3851" w:rsidRDefault="009F3851" w:rsidP="009F3851">
      <w:pPr>
        <w:rPr>
          <w:lang w:val="hr-HR"/>
        </w:rPr>
      </w:pPr>
    </w:p>
    <w:p w14:paraId="619C08BD" w14:textId="77777777" w:rsidR="009F3851" w:rsidRDefault="009F3851" w:rsidP="009F3851">
      <w:pPr>
        <w:rPr>
          <w:lang w:val="hr-HR"/>
        </w:rPr>
      </w:pPr>
    </w:p>
    <w:p w14:paraId="3A08188C" w14:textId="77777777" w:rsidR="009F3851" w:rsidRDefault="009F3851" w:rsidP="009F3851">
      <w:pPr>
        <w:rPr>
          <w:lang w:val="hr-HR"/>
        </w:rPr>
      </w:pPr>
    </w:p>
    <w:p w14:paraId="63A27D30" w14:textId="77777777" w:rsidR="009F3851" w:rsidRDefault="009F3851" w:rsidP="009F3851">
      <w:pPr>
        <w:rPr>
          <w:lang w:val="hr-HR"/>
        </w:rPr>
      </w:pPr>
    </w:p>
    <w:p w14:paraId="6BA97B78" w14:textId="77777777" w:rsidR="009F3851" w:rsidRDefault="009F3851" w:rsidP="009F3851">
      <w:pPr>
        <w:rPr>
          <w:lang w:val="hr-HR"/>
        </w:rPr>
      </w:pPr>
    </w:p>
    <w:p w14:paraId="5FF28D0C" w14:textId="77777777" w:rsidR="009F3851" w:rsidRDefault="009F3851" w:rsidP="009F3851">
      <w:pPr>
        <w:rPr>
          <w:lang w:val="hr-HR"/>
        </w:rPr>
      </w:pPr>
    </w:p>
    <w:p w14:paraId="7719F945" w14:textId="77777777" w:rsidR="009F3851" w:rsidRDefault="009F3851" w:rsidP="009F3851">
      <w:pPr>
        <w:rPr>
          <w:lang w:val="hr-HR"/>
        </w:rPr>
      </w:pPr>
    </w:p>
    <w:p w14:paraId="3A7CCC32" w14:textId="77777777" w:rsidR="009F3851" w:rsidRDefault="009F3851" w:rsidP="009F3851">
      <w:pPr>
        <w:rPr>
          <w:lang w:val="hr-HR"/>
        </w:rPr>
      </w:pPr>
    </w:p>
    <w:p w14:paraId="60B26504" w14:textId="77777777" w:rsidR="009F3851" w:rsidRDefault="009F3851" w:rsidP="009F3851">
      <w:pPr>
        <w:rPr>
          <w:lang w:val="hr-HR"/>
        </w:rPr>
      </w:pPr>
    </w:p>
    <w:p w14:paraId="36DA35E7" w14:textId="77777777" w:rsidR="009F3851" w:rsidRDefault="009F3851" w:rsidP="009F3851">
      <w:pPr>
        <w:rPr>
          <w:lang w:val="hr-HR"/>
        </w:rPr>
      </w:pPr>
    </w:p>
    <w:p w14:paraId="6C52A486" w14:textId="77777777" w:rsidR="009F3851" w:rsidRDefault="009F3851" w:rsidP="009F3851">
      <w:pPr>
        <w:rPr>
          <w:lang w:val="hr-HR"/>
        </w:rPr>
      </w:pPr>
    </w:p>
    <w:p w14:paraId="397E9F11" w14:textId="77777777" w:rsidR="009F3851" w:rsidRDefault="009F3851" w:rsidP="009F3851">
      <w:pPr>
        <w:rPr>
          <w:lang w:val="hr-HR"/>
        </w:rPr>
      </w:pPr>
    </w:p>
    <w:p w14:paraId="49A928B7" w14:textId="77777777" w:rsidR="009F3851" w:rsidRDefault="009F3851" w:rsidP="009F3851">
      <w:pPr>
        <w:rPr>
          <w:lang w:val="hr-HR"/>
        </w:rPr>
      </w:pPr>
    </w:p>
    <w:p w14:paraId="798BD0A4" w14:textId="77777777" w:rsidR="009F3851" w:rsidRDefault="009F3851" w:rsidP="009F3851">
      <w:pPr>
        <w:rPr>
          <w:lang w:val="hr-HR"/>
        </w:rPr>
      </w:pPr>
    </w:p>
    <w:p w14:paraId="03D00D75" w14:textId="77777777" w:rsidR="009F3851" w:rsidRDefault="009F3851" w:rsidP="009F3851">
      <w:pPr>
        <w:rPr>
          <w:lang w:val="hr-HR"/>
        </w:rPr>
      </w:pPr>
    </w:p>
    <w:p w14:paraId="5FA0E7F1" w14:textId="77777777" w:rsidR="009F3851" w:rsidRDefault="009F3851" w:rsidP="009F3851">
      <w:pPr>
        <w:rPr>
          <w:lang w:val="hr-HR"/>
        </w:rPr>
      </w:pPr>
    </w:p>
    <w:p w14:paraId="3AEEE95C" w14:textId="77777777" w:rsidR="009F3851" w:rsidRDefault="009F3851" w:rsidP="009F3851">
      <w:pPr>
        <w:rPr>
          <w:lang w:val="hr-HR"/>
        </w:rPr>
      </w:pPr>
    </w:p>
    <w:p w14:paraId="7A7B3BF8" w14:textId="77777777" w:rsidR="009F3851" w:rsidRDefault="009F3851" w:rsidP="009F3851">
      <w:pPr>
        <w:rPr>
          <w:lang w:val="hr-HR"/>
        </w:rPr>
      </w:pPr>
    </w:p>
    <w:p w14:paraId="64B89938" w14:textId="387F63B1" w:rsidR="009F3851" w:rsidRPr="001604D5" w:rsidRDefault="001604D5" w:rsidP="009F3851">
      <w:pPr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 xml:space="preserve">OBRAZLOŽENJE OPĆEG DIJELA </w:t>
      </w:r>
      <w:r>
        <w:rPr>
          <w:rFonts w:ascii="Times New Roman" w:hAnsi="Times New Roman" w:cs="Times New Roman"/>
          <w:lang w:val="hr-HR"/>
        </w:rPr>
        <w:t xml:space="preserve"> IZVRŠENJA </w:t>
      </w:r>
      <w:r w:rsidRPr="001604D5">
        <w:rPr>
          <w:rFonts w:ascii="Times New Roman" w:hAnsi="Times New Roman" w:cs="Times New Roman"/>
          <w:lang w:val="hr-HR"/>
        </w:rPr>
        <w:t>FINANCIJSKOG PLANA</w:t>
      </w:r>
    </w:p>
    <w:p w14:paraId="18DAEA90" w14:textId="0A20514D" w:rsidR="00466FC1" w:rsidRDefault="00466FC1" w:rsidP="009F3851">
      <w:pPr>
        <w:rPr>
          <w:rFonts w:ascii="Times New Roman" w:hAnsi="Times New Roman" w:cs="Times New Roman"/>
          <w:lang w:val="hr-HR"/>
        </w:rPr>
      </w:pPr>
    </w:p>
    <w:p w14:paraId="14DB9BD7" w14:textId="47F648AB" w:rsidR="001604D5" w:rsidRDefault="001604D5" w:rsidP="009F3851">
      <w:pPr>
        <w:rPr>
          <w:rFonts w:ascii="Times New Roman" w:hAnsi="Times New Roman" w:cs="Times New Roman"/>
          <w:lang w:val="hr-HR"/>
        </w:rPr>
      </w:pPr>
    </w:p>
    <w:p w14:paraId="208C1B7A" w14:textId="2ED8DA43" w:rsidR="001604D5" w:rsidRDefault="001604D5" w:rsidP="001604D5">
      <w:pPr>
        <w:pStyle w:val="Odlomakpopis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>Prihodi i primici Akademije</w:t>
      </w:r>
    </w:p>
    <w:p w14:paraId="503A1042" w14:textId="2755980F" w:rsidR="001604D5" w:rsidRDefault="001604D5" w:rsidP="001604D5">
      <w:pPr>
        <w:jc w:val="both"/>
        <w:rPr>
          <w:rFonts w:ascii="Times New Roman" w:hAnsi="Times New Roman" w:cs="Times New Roman"/>
          <w:lang w:val="hr-HR"/>
        </w:rPr>
      </w:pPr>
    </w:p>
    <w:p w14:paraId="19B73A83" w14:textId="254C7CDF" w:rsidR="001604D5" w:rsidRDefault="001604D5" w:rsidP="001604D5">
      <w:pPr>
        <w:jc w:val="both"/>
        <w:rPr>
          <w:rFonts w:ascii="Times New Roman" w:hAnsi="Times New Roman" w:cs="Times New Roman"/>
          <w:lang w:val="hr-HR"/>
        </w:rPr>
      </w:pPr>
    </w:p>
    <w:p w14:paraId="025F4338" w14:textId="301159EA" w:rsidR="001604D5" w:rsidRDefault="001604D5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Prihodi i primici koji se iskazuju u ovome obrazloženju odnose se na ostvarene prihode u 2023. godini u odnosu na prihode planirane izmjenama i dopunama financijskog plana (rebalans za 2023. godinu). Ukupna prihod planiran za 2023. godinu iznosi 5.956.264,00 eura a izvršenje od 01. siječnja 2023. godine do 31. prosinca 2023. godine iznosi 6.080.955,20 eura</w:t>
      </w:r>
      <w:r w:rsidR="00FA228C">
        <w:rPr>
          <w:rFonts w:ascii="Times New Roman" w:hAnsi="Times New Roman" w:cs="Times New Roman"/>
          <w:lang w:val="hr-HR"/>
        </w:rPr>
        <w:t>.</w:t>
      </w:r>
    </w:p>
    <w:p w14:paraId="24B3386E" w14:textId="287478A1" w:rsidR="00FA228C" w:rsidRDefault="00FA228C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Budući da je Akademija za umjetnost i kulturu proračunski korisnik sredstva za plaće i materijalna prava  zaposlenika osigurana su u državnom proračunu sukladno zadanim limitima od strane Ministarstva znanosti i obrazovanja te su ista na taj način i planirana, kao i sredstva iz programskog financiranja javnih učilišta za pokriće rashoda poslovanja. Planirana sredstva iz izvora 11 Opći prihodi i primici za 2023. godinu iznose 5.337.684,00 eura </w:t>
      </w:r>
      <w:r w:rsidR="0091450F">
        <w:rPr>
          <w:rFonts w:ascii="Times New Roman" w:hAnsi="Times New Roman" w:cs="Times New Roman"/>
          <w:lang w:val="hr-HR"/>
        </w:rPr>
        <w:t>a ostvareni iznos prihoda iz navedenog izvora iznosi 5.433.696,17 eura.</w:t>
      </w:r>
    </w:p>
    <w:p w14:paraId="17447B8D" w14:textId="412EA564" w:rsidR="0091450F" w:rsidRDefault="0091450F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Vlastiti prihodi Akademije (izvor 31) koje čine prihodi od kotizacija za konferencije, prihodi od pružanja usluga (izvođenje </w:t>
      </w:r>
      <w:proofErr w:type="spellStart"/>
      <w:r>
        <w:rPr>
          <w:rFonts w:ascii="Times New Roman" w:hAnsi="Times New Roman" w:cs="Times New Roman"/>
          <w:lang w:val="hr-HR"/>
        </w:rPr>
        <w:t>predstava,koncerata</w:t>
      </w:r>
      <w:proofErr w:type="spellEnd"/>
      <w:r>
        <w:rPr>
          <w:rFonts w:ascii="Times New Roman" w:hAnsi="Times New Roman" w:cs="Times New Roman"/>
          <w:lang w:val="hr-HR"/>
        </w:rPr>
        <w:t>..), prihodi od cjeloživotnog učenja i sl. planirani su u iznosu od 42.439,00 eura. Ostvareni prihodi u 2023. godini iz izvora 43 iznose 44.201,31 eura.</w:t>
      </w:r>
    </w:p>
    <w:p w14:paraId="398F17C0" w14:textId="79F5BA96" w:rsidR="0091450F" w:rsidRDefault="0091450F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Prihodi izvora 43 Prihodi za posebne namjene koji se ostvaruju od školarina i troškova upisa na preddiplomske, diplomske i poslijediplomske studije (Poslijediplomski specijalistički studiji Kreativne terapije i Odnosi s javnošću) planirani su u iznosu od 505.673,00 eura</w:t>
      </w:r>
      <w:r w:rsidR="007328AD">
        <w:rPr>
          <w:rFonts w:ascii="Times New Roman" w:hAnsi="Times New Roman" w:cs="Times New Roman"/>
          <w:lang w:val="hr-HR"/>
        </w:rPr>
        <w:t xml:space="preserve"> (djelomično i zbog pokretanja novog specij</w:t>
      </w:r>
      <w:r w:rsidR="00B956E2">
        <w:rPr>
          <w:rFonts w:ascii="Times New Roman" w:hAnsi="Times New Roman" w:cs="Times New Roman"/>
          <w:lang w:val="hr-HR"/>
        </w:rPr>
        <w:t>a</w:t>
      </w:r>
      <w:r w:rsidR="007328AD">
        <w:rPr>
          <w:rFonts w:ascii="Times New Roman" w:hAnsi="Times New Roman" w:cs="Times New Roman"/>
          <w:lang w:val="hr-HR"/>
        </w:rPr>
        <w:t>lističkog studija Odnosi s javnošću</w:t>
      </w:r>
      <w:r w:rsidR="00B956E2">
        <w:rPr>
          <w:rFonts w:ascii="Times New Roman" w:hAnsi="Times New Roman" w:cs="Times New Roman"/>
          <w:lang w:val="hr-HR"/>
        </w:rPr>
        <w:t xml:space="preserve"> kao i ostvarenih prihoda iz ovog izvora do 30.10.2023. godine u iznosu od 341.715,00 eura što je dovelo do planiranja većeg iznosa na ovoj poziciji). Ostvareni prihodi u 2023. godini iznose 369.198,00 eura.</w:t>
      </w:r>
    </w:p>
    <w:p w14:paraId="295B4EFD" w14:textId="77777777" w:rsidR="004B4F70" w:rsidRDefault="00B956E2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 izvoru 51 Pomoći EU dolazi do velikog indeksa u odnosu na rebalans zbog primljenih sredstava za novougovorene EU projekte za koje smo prihode ostvarili </w:t>
      </w:r>
      <w:r w:rsidR="004B4F70">
        <w:rPr>
          <w:rFonts w:ascii="Times New Roman" w:hAnsi="Times New Roman" w:cs="Times New Roman"/>
          <w:lang w:val="hr-HR"/>
        </w:rPr>
        <w:t>koncem</w:t>
      </w:r>
      <w:r>
        <w:rPr>
          <w:rFonts w:ascii="Times New Roman" w:hAnsi="Times New Roman" w:cs="Times New Roman"/>
          <w:lang w:val="hr-HR"/>
        </w:rPr>
        <w:t xml:space="preserve"> 2023. godine te nisu planirani rebalansom za 2023. godinu</w:t>
      </w:r>
      <w:r w:rsidR="004B4F70">
        <w:rPr>
          <w:rFonts w:ascii="Times New Roman" w:hAnsi="Times New Roman" w:cs="Times New Roman"/>
          <w:lang w:val="hr-HR"/>
        </w:rPr>
        <w:t>.</w:t>
      </w:r>
    </w:p>
    <w:p w14:paraId="6303F7B6" w14:textId="2C5DCA86" w:rsidR="00B956E2" w:rsidRPr="001604D5" w:rsidRDefault="002D39AC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Prihodi na izvoru 52 planiraju se samo ako postoji pisana obavijest koliko će sredstava određeni uplatitelj uplatiti u određenom razdoblju. Sredstva primljena u studenom i prosincu 2023. godine iz ovog izvora (Ministarstvo kulture, Ministarstvo znanosti) nisu sadržana u rebalansu te se stoga pojavljuje veliki indeks. </w:t>
      </w:r>
    </w:p>
    <w:p w14:paraId="03775572" w14:textId="77777777" w:rsidR="001604D5" w:rsidRDefault="001604D5" w:rsidP="001604D5">
      <w:pPr>
        <w:ind w:left="360"/>
        <w:jc w:val="both"/>
        <w:rPr>
          <w:rFonts w:ascii="Times New Roman" w:hAnsi="Times New Roman" w:cs="Times New Roman"/>
          <w:lang w:val="hr-HR"/>
        </w:rPr>
      </w:pPr>
    </w:p>
    <w:p w14:paraId="659DCC8D" w14:textId="77777777" w:rsidR="001604D5" w:rsidRPr="001604D5" w:rsidRDefault="001604D5" w:rsidP="001604D5">
      <w:pPr>
        <w:ind w:left="360"/>
        <w:rPr>
          <w:rFonts w:ascii="Times New Roman" w:hAnsi="Times New Roman" w:cs="Times New Roman"/>
          <w:lang w:val="hr-HR"/>
        </w:rPr>
      </w:pPr>
    </w:p>
    <w:p w14:paraId="21655B66" w14:textId="371D2588" w:rsidR="00466FC1" w:rsidRDefault="002D39AC" w:rsidP="002D39AC">
      <w:pPr>
        <w:rPr>
          <w:rFonts w:ascii="Times New Roman" w:hAnsi="Times New Roman" w:cs="Times New Roman"/>
          <w:lang w:val="hr-HR"/>
        </w:rPr>
      </w:pPr>
      <w:r w:rsidRPr="002D39AC">
        <w:rPr>
          <w:rFonts w:ascii="Times New Roman" w:hAnsi="Times New Roman" w:cs="Times New Roman"/>
          <w:lang w:val="hr-HR"/>
        </w:rPr>
        <w:t>2. Rashodi i izdaci Akademije</w:t>
      </w:r>
    </w:p>
    <w:p w14:paraId="7435B53C" w14:textId="4B76AF0A" w:rsidR="002D39AC" w:rsidRDefault="002D39AC" w:rsidP="002D39AC">
      <w:pPr>
        <w:rPr>
          <w:rFonts w:ascii="Times New Roman" w:hAnsi="Times New Roman" w:cs="Times New Roman"/>
          <w:lang w:val="hr-HR"/>
        </w:rPr>
      </w:pPr>
    </w:p>
    <w:p w14:paraId="2325F05F" w14:textId="4832A71F" w:rsidR="002D39AC" w:rsidRDefault="002D39AC" w:rsidP="002D39AC">
      <w:pPr>
        <w:rPr>
          <w:rFonts w:ascii="Times New Roman" w:hAnsi="Times New Roman" w:cs="Times New Roman"/>
          <w:lang w:val="hr-HR"/>
        </w:rPr>
      </w:pPr>
    </w:p>
    <w:p w14:paraId="2E3DCD37" w14:textId="77777777" w:rsidR="00B865F9" w:rsidRDefault="00B865F9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Rashodi i izdaci koji se iskazuju u ovome obrazloženju odnose se na ostvarene prihode u 2023. godini u odnosu na prihode planirane izmjenama i dopunama financijskog plana (rebalans za 2023. godinu). Ukupni rashodi planirani za 2023. godinu iznose 5.939.939,00 eura, a izvršenje za 2023. godinu iznosi 6.145.123,71 eura. Najveći dio rashoda Akademije odnosi se na rashode za plaće i materijalna prava zaposlenika u iznosu od 4,945.093,31 eura (od toga 4.088.527,75 eura je iznos za bruto plaće zaposlenika, 181.954,60 eura su ostali rashodi za zaposlene – materijalna prava, te iznos za doprinose na bruto plaće od 674.611,56 eura) što je financirano iz izvora 11 Opći prihodi i primici.</w:t>
      </w:r>
    </w:p>
    <w:p w14:paraId="70812F1C" w14:textId="77777777" w:rsidR="00B865F9" w:rsidRDefault="00B865F9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E8D4636" w14:textId="1FF5F4E7" w:rsidR="002E19D9" w:rsidRDefault="00AC4451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 materijalne rashode (konto 32) planiran je iznos od 778.841,00 eura dok izvršenje za 2023. godinu iznosi 920</w:t>
      </w:r>
      <w:r w:rsidR="00B23019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598,18 eura. Najveća odstupanja ostvarena su na kontima Naknade troškova osobama izvan radnog odnosa (vanjski suradnici u nastavi i na poslijediplomskim specijalističkim studijima) i kontu Intelektualne i osobne usluge iz razloga povećanog broja angažiranja vanjskih predavača bilo da je riječ o nastavi ili umjetničkim i znanstvenim projektima.</w:t>
      </w:r>
    </w:p>
    <w:p w14:paraId="39C0F8D7" w14:textId="3B172F6A" w:rsidR="00740242" w:rsidRDefault="00740242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382D126" w14:textId="1259F974" w:rsidR="00740242" w:rsidRDefault="00740242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Izvor 51 sadrži rashode za EU projekte Kreativna Europa </w:t>
      </w:r>
      <w:proofErr w:type="spellStart"/>
      <w:r>
        <w:rPr>
          <w:rFonts w:ascii="Times New Roman" w:hAnsi="Times New Roman" w:cs="Times New Roman"/>
          <w:lang w:val="hr-HR"/>
        </w:rPr>
        <w:t>Eci</w:t>
      </w:r>
      <w:proofErr w:type="spellEnd"/>
      <w:r>
        <w:rPr>
          <w:rFonts w:ascii="Times New Roman" w:hAnsi="Times New Roman" w:cs="Times New Roman"/>
          <w:lang w:val="hr-HR"/>
        </w:rPr>
        <w:t xml:space="preserve"> Peci, </w:t>
      </w:r>
      <w:proofErr w:type="spellStart"/>
      <w:r>
        <w:rPr>
          <w:rFonts w:ascii="Times New Roman" w:hAnsi="Times New Roman" w:cs="Times New Roman"/>
          <w:lang w:val="hr-HR"/>
        </w:rPr>
        <w:t>Newaves</w:t>
      </w:r>
      <w:proofErr w:type="spellEnd"/>
      <w:r>
        <w:rPr>
          <w:rFonts w:ascii="Times New Roman" w:hAnsi="Times New Roman" w:cs="Times New Roman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lang w:val="hr-HR"/>
        </w:rPr>
        <w:t>Erasmus</w:t>
      </w:r>
      <w:proofErr w:type="spellEnd"/>
      <w:r>
        <w:rPr>
          <w:rFonts w:ascii="Times New Roman" w:hAnsi="Times New Roman" w:cs="Times New Roman"/>
          <w:lang w:val="hr-HR"/>
        </w:rPr>
        <w:t xml:space="preserve"> IPMAU.</w:t>
      </w:r>
    </w:p>
    <w:p w14:paraId="4FCBB4C6" w14:textId="68B72A10" w:rsidR="00740242" w:rsidRDefault="00740242" w:rsidP="00AC4451">
      <w:pPr>
        <w:spacing w:line="276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lang w:bidi="hr-HR"/>
        </w:rPr>
        <w:t>Izvor</w:t>
      </w:r>
      <w:proofErr w:type="spellEnd"/>
      <w:r>
        <w:rPr>
          <w:rFonts w:ascii="Times New Roman" w:hAnsi="Times New Roman" w:cs="Times New Roman"/>
          <w:lang w:bidi="hr-HR"/>
        </w:rPr>
        <w:t xml:space="preserve"> 52</w:t>
      </w:r>
      <w:r>
        <w:rPr>
          <w:rFonts w:ascii="Times New Roman" w:hAnsi="Times New Roman" w:cs="Times New Roman"/>
          <w:noProof/>
        </w:rPr>
        <w:t xml:space="preserve"> obuhvaća i prijenose sredstava temeljem Ugovora o međufakutetskoj suradnji, vezana za pokriće troškova putovanja, prijenose sredstva Agencije za znanost i visoko obrazovanje i Erasmus+ program mobilnosti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navedeni iznosi nisu planirani u financijskom planu. Njihovo izvršenje ovisi o primljenim sredstvima, odnosno prijavama na program mobilnosti.</w:t>
      </w:r>
    </w:p>
    <w:p w14:paraId="7BFB1825" w14:textId="05AEB835" w:rsidR="002E19D9" w:rsidRDefault="002E19D9" w:rsidP="009F3851">
      <w:pPr>
        <w:rPr>
          <w:lang w:val="hr-HR"/>
        </w:rPr>
      </w:pPr>
    </w:p>
    <w:p w14:paraId="5239A47F" w14:textId="4ED723C8" w:rsidR="002E19D9" w:rsidRDefault="003229B1" w:rsidP="009F3851">
      <w:pPr>
        <w:rPr>
          <w:rFonts w:ascii="Times New Roman" w:hAnsi="Times New Roman" w:cs="Times New Roman"/>
          <w:lang w:val="hr-HR"/>
        </w:rPr>
      </w:pPr>
      <w:r w:rsidRPr="003229B1">
        <w:rPr>
          <w:rFonts w:ascii="Times New Roman" w:hAnsi="Times New Roman" w:cs="Times New Roman"/>
          <w:lang w:val="hr-HR"/>
        </w:rPr>
        <w:t xml:space="preserve">Planirani izdaci za </w:t>
      </w:r>
      <w:r>
        <w:rPr>
          <w:rFonts w:ascii="Times New Roman" w:hAnsi="Times New Roman" w:cs="Times New Roman"/>
          <w:lang w:val="hr-HR"/>
        </w:rPr>
        <w:t>otplate kredita iznosili su 16.325,00 eura. U 2023. godini navedeni izdaci su iznosili 11.202,00 eura.</w:t>
      </w:r>
    </w:p>
    <w:p w14:paraId="2E84A05A" w14:textId="3108575E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280C6D3E" w14:textId="7FC7B0EC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2ADB3FED" w14:textId="233DE20E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18160450" w14:textId="1FB020A5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42E11A88" w14:textId="50C39CE9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7B6777C0" w14:textId="4B69EA2C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394989B4" w14:textId="77777777" w:rsidR="0088655E" w:rsidRDefault="0088655E" w:rsidP="009F3851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2D2F94C2" w14:textId="03F0EE78" w:rsidR="003229B1" w:rsidRDefault="003229B1" w:rsidP="003229B1">
      <w:pPr>
        <w:rPr>
          <w:rFonts w:ascii="Times New Roman" w:hAnsi="Times New Roman" w:cs="Times New Roman"/>
          <w:lang w:val="hr-HR"/>
        </w:rPr>
      </w:pPr>
      <w:r w:rsidRPr="003229B1">
        <w:rPr>
          <w:rFonts w:ascii="Times New Roman" w:hAnsi="Times New Roman" w:cs="Times New Roman"/>
          <w:lang w:val="hr-HR"/>
        </w:rPr>
        <w:t>3.</w:t>
      </w:r>
      <w:r>
        <w:rPr>
          <w:rFonts w:ascii="Times New Roman" w:hAnsi="Times New Roman" w:cs="Times New Roman"/>
          <w:lang w:val="hr-HR"/>
        </w:rPr>
        <w:t xml:space="preserve"> </w:t>
      </w:r>
      <w:r w:rsidRPr="003229B1">
        <w:rPr>
          <w:rFonts w:ascii="Times New Roman" w:hAnsi="Times New Roman" w:cs="Times New Roman"/>
          <w:lang w:val="hr-HR"/>
        </w:rPr>
        <w:t>Prijenos sredstava iz prethodne godine</w:t>
      </w:r>
    </w:p>
    <w:p w14:paraId="4CF91389" w14:textId="0A6F537A" w:rsidR="003229B1" w:rsidRDefault="003229B1" w:rsidP="003229B1">
      <w:pPr>
        <w:rPr>
          <w:rFonts w:ascii="Times New Roman" w:hAnsi="Times New Roman" w:cs="Times New Roman"/>
          <w:lang w:val="hr-HR"/>
        </w:rPr>
      </w:pPr>
    </w:p>
    <w:p w14:paraId="6BE22797" w14:textId="3EA0496D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2022. godini Akademija za umjetnost i kulturu je ostvarila višak prihoda u iznosu od 75.263,83 eura. Navedenim prenesenim viškom u 2024. godini pokrila se nabava glazbene opreme, odnosno koncertnog klavira.</w:t>
      </w:r>
    </w:p>
    <w:p w14:paraId="262DC00D" w14:textId="160D8379" w:rsidR="003229B1" w:rsidRP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Sučeljavanjem prihoda i rashoda u 2023. godini, te nakon korekcije rezultata ostvaren je rezultat od 106,80 eura manjka.</w:t>
      </w:r>
    </w:p>
    <w:p w14:paraId="2E655CBF" w14:textId="525FE0A5" w:rsidR="002E19D9" w:rsidRDefault="002E19D9" w:rsidP="003229B1">
      <w:pPr>
        <w:spacing w:line="276" w:lineRule="auto"/>
        <w:jc w:val="both"/>
        <w:rPr>
          <w:lang w:val="hr-HR"/>
        </w:rPr>
      </w:pPr>
    </w:p>
    <w:p w14:paraId="4339EEFC" w14:textId="2092199B" w:rsidR="003229B1" w:rsidRDefault="003229B1" w:rsidP="003229B1">
      <w:pPr>
        <w:spacing w:line="276" w:lineRule="auto"/>
        <w:jc w:val="both"/>
        <w:rPr>
          <w:lang w:val="hr-HR"/>
        </w:rPr>
      </w:pPr>
    </w:p>
    <w:p w14:paraId="1FED23E8" w14:textId="3B5A1CFD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3229B1">
        <w:rPr>
          <w:rFonts w:ascii="Times New Roman" w:hAnsi="Times New Roman" w:cs="Times New Roman"/>
          <w:lang w:val="hr-HR"/>
        </w:rPr>
        <w:lastRenderedPageBreak/>
        <w:t>4. Stanje novčanih sredstava</w:t>
      </w:r>
    </w:p>
    <w:p w14:paraId="0B16DF45" w14:textId="078006E1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229B1" w14:paraId="0CFA3979" w14:textId="77777777" w:rsidTr="003229B1">
        <w:tc>
          <w:tcPr>
            <w:tcW w:w="4530" w:type="dxa"/>
          </w:tcPr>
          <w:p w14:paraId="01938B3D" w14:textId="7946356A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Stanje novčanih sredstava 01.01.2023.</w:t>
            </w:r>
          </w:p>
        </w:tc>
        <w:tc>
          <w:tcPr>
            <w:tcW w:w="4530" w:type="dxa"/>
          </w:tcPr>
          <w:p w14:paraId="14514614" w14:textId="3934B3C3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Stanje novčanih sredstava 31.12.2023.</w:t>
            </w:r>
          </w:p>
        </w:tc>
      </w:tr>
      <w:tr w:rsidR="003229B1" w14:paraId="44D6308E" w14:textId="77777777" w:rsidTr="003229B1">
        <w:tc>
          <w:tcPr>
            <w:tcW w:w="4530" w:type="dxa"/>
          </w:tcPr>
          <w:p w14:paraId="767B8B84" w14:textId="0662B1FF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189.588,00 eura</w:t>
            </w:r>
          </w:p>
        </w:tc>
        <w:tc>
          <w:tcPr>
            <w:tcW w:w="4530" w:type="dxa"/>
          </w:tcPr>
          <w:p w14:paraId="7CA4441E" w14:textId="2F6364CF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67.239,10 eura</w:t>
            </w:r>
          </w:p>
        </w:tc>
      </w:tr>
    </w:tbl>
    <w:p w14:paraId="55948AAD" w14:textId="77777777" w:rsidR="003229B1" w:rsidRP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6953FA5" w14:textId="77777777" w:rsidR="002E19D9" w:rsidRDefault="002E19D9" w:rsidP="003229B1">
      <w:pPr>
        <w:spacing w:line="276" w:lineRule="auto"/>
        <w:jc w:val="both"/>
        <w:rPr>
          <w:lang w:val="hr-HR"/>
        </w:rPr>
      </w:pPr>
    </w:p>
    <w:p w14:paraId="48701DAA" w14:textId="77777777" w:rsidR="009F3851" w:rsidRDefault="009F3851" w:rsidP="009F3851">
      <w:pPr>
        <w:rPr>
          <w:lang w:val="hr-HR"/>
        </w:rPr>
      </w:pPr>
    </w:p>
    <w:p w14:paraId="102ED2C9" w14:textId="77777777" w:rsidR="009F3851" w:rsidRDefault="009F3851" w:rsidP="009F3851">
      <w:pPr>
        <w:rPr>
          <w:lang w:val="hr-HR"/>
        </w:rPr>
      </w:pPr>
    </w:p>
    <w:p w14:paraId="6F591C31" w14:textId="77777777" w:rsidR="009F3851" w:rsidRDefault="009F3851" w:rsidP="009F3851">
      <w:pPr>
        <w:rPr>
          <w:lang w:val="hr-HR"/>
        </w:rPr>
      </w:pPr>
    </w:p>
    <w:p w14:paraId="489B8653" w14:textId="77777777" w:rsidR="009F3851" w:rsidRDefault="009F3851" w:rsidP="009F3851">
      <w:pPr>
        <w:rPr>
          <w:lang w:val="hr-HR"/>
        </w:rPr>
      </w:pPr>
    </w:p>
    <w:p w14:paraId="117D082E" w14:textId="63E12345" w:rsidR="009F3851" w:rsidRDefault="009F3851" w:rsidP="009F3851">
      <w:pPr>
        <w:rPr>
          <w:lang w:val="hr-HR"/>
        </w:rPr>
      </w:pPr>
    </w:p>
    <w:p w14:paraId="4F12EDF9" w14:textId="2440567B" w:rsidR="00A0435C" w:rsidRDefault="00A0435C" w:rsidP="009F3851">
      <w:pPr>
        <w:rPr>
          <w:lang w:val="hr-HR"/>
        </w:rPr>
      </w:pPr>
    </w:p>
    <w:p w14:paraId="53426B2C" w14:textId="3616638E" w:rsidR="00A0435C" w:rsidRDefault="00A0435C" w:rsidP="009F3851">
      <w:pPr>
        <w:rPr>
          <w:lang w:val="hr-HR"/>
        </w:rPr>
      </w:pPr>
    </w:p>
    <w:p w14:paraId="13F61FFF" w14:textId="77777777" w:rsidR="00A0435C" w:rsidRPr="009F3851" w:rsidRDefault="00A0435C" w:rsidP="009F3851">
      <w:pPr>
        <w:rPr>
          <w:lang w:val="hr-HR"/>
        </w:rPr>
      </w:pPr>
    </w:p>
    <w:sectPr w:rsidR="00A0435C" w:rsidRPr="009F3851" w:rsidSect="00C100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8AA5" w14:textId="77777777" w:rsidR="00792667" w:rsidRDefault="00792667">
      <w:r>
        <w:separator/>
      </w:r>
    </w:p>
  </w:endnote>
  <w:endnote w:type="continuationSeparator" w:id="0">
    <w:p w14:paraId="4E47FB3C" w14:textId="77777777" w:rsidR="00792667" w:rsidRDefault="0079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7226" w14:textId="77777777" w:rsidR="00792667" w:rsidRDefault="00792667">
      <w:r>
        <w:separator/>
      </w:r>
    </w:p>
  </w:footnote>
  <w:footnote w:type="continuationSeparator" w:id="0">
    <w:p w14:paraId="04683CE5" w14:textId="77777777" w:rsidR="00792667" w:rsidRDefault="0079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511"/>
    <w:multiLevelType w:val="hybridMultilevel"/>
    <w:tmpl w:val="1CFE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548"/>
    <w:multiLevelType w:val="hybridMultilevel"/>
    <w:tmpl w:val="6A12BA08"/>
    <w:lvl w:ilvl="0" w:tplc="8B441C20">
      <w:numFmt w:val="bullet"/>
      <w:lvlText w:val="-"/>
      <w:lvlJc w:val="left"/>
      <w:pPr>
        <w:ind w:left="418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A75C1"/>
    <w:rsid w:val="000A7F06"/>
    <w:rsid w:val="00104BC9"/>
    <w:rsid w:val="001604D5"/>
    <w:rsid w:val="001A13FE"/>
    <w:rsid w:val="001C26DC"/>
    <w:rsid w:val="001D4921"/>
    <w:rsid w:val="00200F83"/>
    <w:rsid w:val="002C0A80"/>
    <w:rsid w:val="002C6CE6"/>
    <w:rsid w:val="002D39AC"/>
    <w:rsid w:val="002D3BA4"/>
    <w:rsid w:val="002E19D9"/>
    <w:rsid w:val="003229B1"/>
    <w:rsid w:val="00363D60"/>
    <w:rsid w:val="00371B87"/>
    <w:rsid w:val="003C4881"/>
    <w:rsid w:val="003F5437"/>
    <w:rsid w:val="00405ECD"/>
    <w:rsid w:val="00465184"/>
    <w:rsid w:val="00466FC1"/>
    <w:rsid w:val="004A5FFE"/>
    <w:rsid w:val="004B4F70"/>
    <w:rsid w:val="00596EEE"/>
    <w:rsid w:val="005D553C"/>
    <w:rsid w:val="00636BF3"/>
    <w:rsid w:val="00641ECE"/>
    <w:rsid w:val="0064352E"/>
    <w:rsid w:val="006C0EA6"/>
    <w:rsid w:val="007328AD"/>
    <w:rsid w:val="00740242"/>
    <w:rsid w:val="00741BE2"/>
    <w:rsid w:val="00746B7D"/>
    <w:rsid w:val="00792667"/>
    <w:rsid w:val="007C125A"/>
    <w:rsid w:val="0083304A"/>
    <w:rsid w:val="00845BA2"/>
    <w:rsid w:val="0088655E"/>
    <w:rsid w:val="008F56B6"/>
    <w:rsid w:val="0091450F"/>
    <w:rsid w:val="009E09D7"/>
    <w:rsid w:val="009E26F9"/>
    <w:rsid w:val="009F3851"/>
    <w:rsid w:val="00A0435C"/>
    <w:rsid w:val="00A04EC7"/>
    <w:rsid w:val="00A12837"/>
    <w:rsid w:val="00A91C6C"/>
    <w:rsid w:val="00AC4451"/>
    <w:rsid w:val="00B12CE3"/>
    <w:rsid w:val="00B144FD"/>
    <w:rsid w:val="00B23019"/>
    <w:rsid w:val="00B456C7"/>
    <w:rsid w:val="00B6369A"/>
    <w:rsid w:val="00B80749"/>
    <w:rsid w:val="00B865F9"/>
    <w:rsid w:val="00B956E2"/>
    <w:rsid w:val="00BE0330"/>
    <w:rsid w:val="00BF1063"/>
    <w:rsid w:val="00C10038"/>
    <w:rsid w:val="00C42813"/>
    <w:rsid w:val="00C93449"/>
    <w:rsid w:val="00CB6F2A"/>
    <w:rsid w:val="00CC335A"/>
    <w:rsid w:val="00D6360C"/>
    <w:rsid w:val="00D84254"/>
    <w:rsid w:val="00DF629E"/>
    <w:rsid w:val="00E50F04"/>
    <w:rsid w:val="00E708C3"/>
    <w:rsid w:val="00F2330C"/>
    <w:rsid w:val="00F72249"/>
    <w:rsid w:val="00FA228C"/>
    <w:rsid w:val="00FB45CE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16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E6D-4512-4E7B-AAB8-65EC3B44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7</cp:revision>
  <cp:lastPrinted>2024-03-27T12:20:00Z</cp:lastPrinted>
  <dcterms:created xsi:type="dcterms:W3CDTF">2023-04-26T12:04:00Z</dcterms:created>
  <dcterms:modified xsi:type="dcterms:W3CDTF">2024-03-28T07:55:00Z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