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9E95" w14:textId="77777777" w:rsidR="00F04E31" w:rsidRPr="00F04E31" w:rsidRDefault="00F04E31" w:rsidP="00F04E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F04E31">
        <w:rPr>
          <w:rFonts w:ascii="inherit" w:eastAsia="Times New Roman" w:hAnsi="inherit" w:cs="Segoe UI Historic"/>
          <w:color w:val="080809"/>
          <w:sz w:val="23"/>
          <w:szCs w:val="23"/>
        </w:rPr>
        <w:t>Životopis:</w:t>
      </w:r>
    </w:p>
    <w:p w14:paraId="7A429131" w14:textId="77777777" w:rsidR="00F04E31" w:rsidRPr="00F04E31" w:rsidRDefault="00F04E31" w:rsidP="00F04E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F04E31">
        <w:rPr>
          <w:rFonts w:ascii="inherit" w:eastAsia="Times New Roman" w:hAnsi="inherit" w:cs="Segoe UI Historic"/>
          <w:color w:val="080809"/>
          <w:sz w:val="23"/>
          <w:szCs w:val="23"/>
        </w:rPr>
        <w:t>Dr. sc. Ana Letunić je izvanredna profesorica na Odsjeku produkcije Akademije dramske umjetnosti Sveučilišta u Zagrebu, a djeluje i kao kustosica izvedbenih umjetnosti i istraživačica kulturnih politika.</w:t>
      </w:r>
    </w:p>
    <w:p w14:paraId="66C9078C" w14:textId="77777777" w:rsidR="00F04E31" w:rsidRPr="00F04E31" w:rsidRDefault="00F04E31" w:rsidP="00F04E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F04E31">
        <w:rPr>
          <w:rFonts w:ascii="inherit" w:eastAsia="Times New Roman" w:hAnsi="inherit" w:cs="Segoe UI Historic"/>
          <w:color w:val="080809"/>
          <w:sz w:val="23"/>
          <w:szCs w:val="23"/>
        </w:rPr>
        <w:t>Doktorirala je kulturne politike na Sveučilištu u Hildesheimu i Univerzitetu umetnosti u Beogradu, a njezin je doktorski projekt nagrađen istraživačkom stipendijom DAAD i nagradom ENCATC Research Boot Camp. Diplomirala je na međunarodnom diplomskom studiju iz izvedbenih studija (International Performance Research) na Sveučilištima u Warwicku i Beogradu, a dodatno se usavršavala iz kuriranja izvedbenih umjetnosti na sveučilištima u Salzburgu i LMU Münchenu.</w:t>
      </w:r>
    </w:p>
    <w:p w14:paraId="493384B6" w14:textId="77777777" w:rsidR="00F04E31" w:rsidRPr="00F04E31" w:rsidRDefault="00F04E31" w:rsidP="00F04E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F04E31">
        <w:rPr>
          <w:rFonts w:ascii="inherit" w:eastAsia="Times New Roman" w:hAnsi="inherit" w:cs="Segoe UI Historic"/>
          <w:color w:val="080809"/>
          <w:sz w:val="23"/>
          <w:szCs w:val="23"/>
        </w:rPr>
        <w:t>Njezino akademsko i kustosko djelovanje usmjereno je na sjecišta izvedbe, kulturne politike i međunarodne suradnje, s posebnim fokusom na pravednost u umjetnosti i društveno-političke dimenzije kulturne produkcije.</w:t>
      </w:r>
    </w:p>
    <w:p w14:paraId="587727D0" w14:textId="77777777" w:rsidR="00F04E31" w:rsidRPr="00F04E31" w:rsidRDefault="00F04E31" w:rsidP="00F04E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F04E31">
        <w:rPr>
          <w:rFonts w:ascii="inherit" w:eastAsia="Times New Roman" w:hAnsi="inherit" w:cs="Segoe UI Historic"/>
          <w:color w:val="080809"/>
          <w:sz w:val="23"/>
          <w:szCs w:val="23"/>
        </w:rPr>
        <w:t>Suradnica je brojnih institucija i mreža u Europi i šire, uključujući Tanz im August, Zürcher Theater Spektakel, IETM, APAP, Nomad Dance Academy i Life Long Burning. Autorica je i suautorica nekoliko knjiga i priručnika te više od dvadeset znanstvenih članaka. Uz istraživački rad, kurira diskurzivne programe i konzultira u području međunarodne kulturne suradnje i politika. Također surađuje kao stručnjakinja za kulturne politike sa Švicarskom agencijom za razvoj i suradnju (SDC) i UNESCO-om.</w:t>
      </w:r>
    </w:p>
    <w:p w14:paraId="4E78F507" w14:textId="77777777" w:rsidR="0008134F" w:rsidRDefault="0008134F"/>
    <w:sectPr w:rsidR="00081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5B"/>
    <w:rsid w:val="0008134F"/>
    <w:rsid w:val="005C345B"/>
    <w:rsid w:val="00F0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FA5E1-83EA-4E63-BCF5-509E90C5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5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2025-05-28T21:16:00Z</dcterms:created>
  <dcterms:modified xsi:type="dcterms:W3CDTF">2025-05-28T21:16:00Z</dcterms:modified>
</cp:coreProperties>
</file>